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F98C50">
      <w:pPr>
        <w:pStyle w:val="10"/>
        <w:widowControl/>
        <w:jc w:val="center"/>
        <w:rPr>
          <w:rFonts w:hint="eastAsia" w:ascii="方正小标宋简体" w:hAnsi="方正小标宋简体" w:eastAsia="方正小标宋简体" w:cs="方正小标宋简体"/>
        </w:rPr>
      </w:pPr>
    </w:p>
    <w:p w14:paraId="42ED498F">
      <w:pPr>
        <w:pStyle w:val="10"/>
        <w:widowControl/>
        <w:jc w:val="center"/>
        <w:rPr>
          <w:rFonts w:hint="eastAsia" w:ascii="方正小标宋简体" w:hAnsi="方正小标宋简体" w:eastAsia="方正小标宋简体" w:cs="方正小标宋简体"/>
        </w:rPr>
      </w:pPr>
    </w:p>
    <w:p w14:paraId="1A1CFF61">
      <w:pPr>
        <w:pStyle w:val="10"/>
        <w:widowControl/>
        <w:jc w:val="center"/>
        <w:rPr>
          <w:rFonts w:hint="eastAsia" w:ascii="方正小标宋简体" w:hAnsi="方正小标宋简体" w:eastAsia="方正小标宋简体" w:cs="方正小标宋简体"/>
        </w:rPr>
      </w:pPr>
    </w:p>
    <w:p w14:paraId="6ED3B7AE">
      <w:pPr>
        <w:pStyle w:val="10"/>
        <w:widowControl/>
        <w:jc w:val="center"/>
        <w:rPr>
          <w:rFonts w:hint="eastAsia" w:ascii="方正小标宋简体" w:hAnsi="方正小标宋简体" w:eastAsia="方正小标宋简体" w:cs="方正小标宋简体"/>
        </w:rPr>
      </w:pPr>
    </w:p>
    <w:p w14:paraId="03DECECD">
      <w:pPr>
        <w:pStyle w:val="10"/>
        <w:widowControl/>
        <w:jc w:val="center"/>
        <w:rPr>
          <w:rFonts w:hint="eastAsia" w:ascii="方正小标宋简体" w:hAnsi="方正小标宋简体" w:eastAsia="方正小标宋简体" w:cs="方正小标宋简体"/>
        </w:rPr>
      </w:pPr>
    </w:p>
    <w:p w14:paraId="54F5C53B">
      <w:pPr>
        <w:pStyle w:val="10"/>
        <w:widowControl/>
        <w:jc w:val="center"/>
        <w:rPr>
          <w:rFonts w:hint="eastAsia" w:ascii="方正小标宋简体" w:hAnsi="方正小标宋简体" w:eastAsia="方正小标宋简体" w:cs="方正小标宋简体"/>
        </w:rPr>
      </w:pPr>
    </w:p>
    <w:p w14:paraId="76B765A3">
      <w:pPr>
        <w:pStyle w:val="10"/>
        <w:widowControl/>
        <w:jc w:val="center"/>
        <w:rPr>
          <w:rFonts w:hint="eastAsia" w:ascii="方正小标宋简体" w:hAnsi="方正小标宋简体" w:eastAsia="方正小标宋简体" w:cs="方正小标宋简体"/>
        </w:rPr>
      </w:pPr>
    </w:p>
    <w:p w14:paraId="39DE5ACB">
      <w:pPr>
        <w:pStyle w:val="3"/>
        <w:keepNext w:val="0"/>
        <w:keepLines w:val="0"/>
        <w:pageBreakBefore w:val="0"/>
        <w:widowControl/>
        <w:kinsoku/>
        <w:overflowPunct/>
        <w:topLinePunct w:val="0"/>
        <w:autoSpaceDE/>
        <w:autoSpaceDN/>
        <w:bidi w:val="0"/>
        <w:adjustRightInd/>
        <w:snapToGrid/>
        <w:spacing w:line="576" w:lineRule="exact"/>
        <w:ind w:left="0" w:leftChars="0" w:firstLine="0" w:firstLineChars="0"/>
        <w:jc w:val="center"/>
        <w:textAlignment w:val="auto"/>
        <w:rPr>
          <w:rFonts w:hint="eastAsia" w:ascii="方正仿宋_GBK" w:hAnsi="方正仿宋_GBK" w:eastAsia="方正仿宋_GBK" w:cs="方正仿宋_GBK"/>
          <w:lang w:eastAsia="zh-CN"/>
        </w:rPr>
      </w:pPr>
    </w:p>
    <w:p w14:paraId="707FE9A3">
      <w:pPr>
        <w:pStyle w:val="3"/>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方正小标宋简体" w:hAnsi="方正小标宋简体" w:eastAsia="方正小标宋简体" w:cs="方正小标宋简体"/>
        </w:rPr>
      </w:pPr>
      <w:r>
        <w:rPr>
          <w:rFonts w:hint="eastAsia" w:ascii="方正仿宋_GBK" w:hAnsi="方正仿宋_GBK" w:eastAsia="方正仿宋_GBK" w:cs="方正仿宋_GBK"/>
          <w:lang w:eastAsia="zh-CN"/>
        </w:rPr>
        <w:t>潭知保发〔</w:t>
      </w:r>
      <w:r>
        <w:rPr>
          <w:rFonts w:hint="eastAsia" w:ascii="方正仿宋_GBK" w:hAnsi="方正仿宋_GBK" w:eastAsia="方正仿宋_GBK" w:cs="方正仿宋_GBK"/>
          <w:lang w:val="en-US" w:eastAsia="zh-CN"/>
        </w:rPr>
        <w:t>2026</w:t>
      </w:r>
      <w:r>
        <w:rPr>
          <w:rFonts w:hint="eastAsia" w:ascii="方正仿宋_GBK" w:hAnsi="方正仿宋_GBK" w:eastAsia="方正仿宋_GBK" w:cs="方正仿宋_GBK"/>
          <w:lang w:eastAsia="zh-CN"/>
        </w:rPr>
        <w:t>〕</w:t>
      </w:r>
      <w:r>
        <w:rPr>
          <w:rFonts w:hint="eastAsia" w:ascii="方正仿宋_GBK" w:hAnsi="方正仿宋_GBK" w:eastAsia="方正仿宋_GBK" w:cs="方正仿宋_GBK"/>
          <w:lang w:val="en-US" w:eastAsia="zh-CN"/>
        </w:rPr>
        <w:t>7号</w:t>
      </w:r>
    </w:p>
    <w:p w14:paraId="159BEF2F">
      <w:pPr>
        <w:pStyle w:val="10"/>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rPr>
      </w:pPr>
    </w:p>
    <w:p w14:paraId="3D35A3DB">
      <w:pPr>
        <w:pStyle w:val="10"/>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关于印发《湘潭市知识产权保护中心专利复审无效案件多模式口头审理服务指南》的通知</w:t>
      </w:r>
    </w:p>
    <w:p w14:paraId="7BEF1FA4">
      <w:pPr>
        <w:pStyle w:val="10"/>
        <w:keepNext w:val="0"/>
        <w:keepLines w:val="0"/>
        <w:pageBreakBefore w:val="0"/>
        <w:widowControl/>
        <w:kinsoku/>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rPr>
      </w:pPr>
    </w:p>
    <w:p w14:paraId="521EA54B">
      <w:pPr>
        <w:pStyle w:val="3"/>
        <w:keepNext w:val="0"/>
        <w:keepLines w:val="0"/>
        <w:pageBreakBefore w:val="0"/>
        <w:widowControl/>
        <w:kinsoku/>
        <w:overflowPunct/>
        <w:topLinePunct w:val="0"/>
        <w:autoSpaceDE/>
        <w:autoSpaceDN/>
        <w:bidi w:val="0"/>
        <w:adjustRightInd/>
        <w:snapToGrid/>
        <w:spacing w:line="576" w:lineRule="exact"/>
        <w:ind w:left="0" w:leftChars="0" w:firstLine="0" w:firstLineChars="0"/>
        <w:textAlignment w:val="auto"/>
        <w:rPr>
          <w:rFonts w:hint="eastAsia" w:ascii="方正仿宋_GBK" w:hAnsi="方正仿宋_GBK" w:eastAsia="方正仿宋_GBK" w:cs="方正仿宋_GBK"/>
        </w:rPr>
      </w:pPr>
      <w:r>
        <w:rPr>
          <w:rFonts w:hint="eastAsia" w:ascii="方正仿宋_GBK" w:hAnsi="方正仿宋_GBK" w:eastAsia="方正仿宋_GBK" w:cs="方正仿宋_GBK"/>
          <w:lang w:eastAsia="zh-CN"/>
        </w:rPr>
        <w:t>各有关单位</w:t>
      </w:r>
      <w:r>
        <w:rPr>
          <w:rFonts w:hint="eastAsia" w:ascii="方正仿宋_GBK" w:hAnsi="方正仿宋_GBK" w:eastAsia="方正仿宋_GBK" w:cs="方正仿宋_GBK"/>
        </w:rPr>
        <w:t>:</w:t>
      </w:r>
    </w:p>
    <w:p w14:paraId="79B54B90">
      <w:pPr>
        <w:pStyle w:val="3"/>
        <w:keepNext w:val="0"/>
        <w:keepLines w:val="0"/>
        <w:pageBreakBefore w:val="0"/>
        <w:widowControl/>
        <w:kinsoku/>
        <w:overflowPunct/>
        <w:topLinePunct w:val="0"/>
        <w:autoSpaceDE/>
        <w:autoSpaceDN/>
        <w:bidi w:val="0"/>
        <w:adjustRightInd/>
        <w:snapToGrid/>
        <w:spacing w:line="576" w:lineRule="exact"/>
        <w:textAlignment w:val="auto"/>
        <w:rPr>
          <w:rFonts w:hint="eastAsia" w:ascii="方正仿宋_GBK" w:hAnsi="方正仿宋_GBK" w:eastAsia="方正仿宋_GBK" w:cs="方正仿宋_GBK"/>
        </w:rPr>
      </w:pPr>
      <w:r>
        <w:rPr>
          <w:rFonts w:hint="eastAsia" w:ascii="方正仿宋_GBK" w:hAnsi="方正仿宋_GBK" w:eastAsia="方正仿宋_GBK" w:cs="方正仿宋_GBK"/>
          <w:lang w:eastAsia="zh-CN"/>
        </w:rPr>
        <w:t>为全面贯彻落实国家知识产权局有关专利复审无效案件多模式口头审理工作部署要求，提高专利复审无效案件多模式口头审理效率，创新服务模式，便利创新主体。现将《湘潭市知识产权保护中心专利复审无效案件多模式口头审理服务指南》印发给你们，请遵照执行。</w:t>
      </w:r>
    </w:p>
    <w:p w14:paraId="1436C1BA">
      <w:pPr>
        <w:pStyle w:val="3"/>
        <w:keepNext w:val="0"/>
        <w:keepLines w:val="0"/>
        <w:pageBreakBefore w:val="0"/>
        <w:widowControl/>
        <w:kinsoku/>
        <w:wordWrap/>
        <w:overflowPunct/>
        <w:topLinePunct w:val="0"/>
        <w:autoSpaceDE/>
        <w:autoSpaceDN/>
        <w:bidi w:val="0"/>
        <w:adjustRightInd/>
        <w:snapToGrid/>
        <w:spacing w:line="576" w:lineRule="exact"/>
        <w:textAlignment w:val="auto"/>
        <w:rPr>
          <w:rFonts w:hint="eastAsia" w:ascii="方正仿宋_GBK" w:hAnsi="方正仿宋_GBK" w:eastAsia="方正仿宋_GBK" w:cs="方正仿宋_GBK"/>
        </w:rPr>
      </w:pPr>
    </w:p>
    <w:p w14:paraId="18CD5264">
      <w:pPr>
        <w:pStyle w:val="3"/>
        <w:keepNext w:val="0"/>
        <w:keepLines w:val="0"/>
        <w:pageBreakBefore w:val="0"/>
        <w:widowControl/>
        <w:kinsoku/>
        <w:wordWrap/>
        <w:overflowPunct/>
        <w:topLinePunct w:val="0"/>
        <w:autoSpaceDE/>
        <w:autoSpaceDN/>
        <w:bidi w:val="0"/>
        <w:adjustRightInd/>
        <w:snapToGrid/>
        <w:spacing w:line="576" w:lineRule="exact"/>
        <w:textAlignment w:val="auto"/>
        <w:rPr>
          <w:rFonts w:hint="eastAsia" w:ascii="方正仿宋_GBK" w:hAnsi="方正仿宋_GBK" w:eastAsia="方正仿宋_GBK" w:cs="方正仿宋_GBK"/>
        </w:rPr>
      </w:pPr>
    </w:p>
    <w:p w14:paraId="76396EEF">
      <w:pPr>
        <w:pStyle w:val="3"/>
        <w:keepNext w:val="0"/>
        <w:keepLines w:val="0"/>
        <w:pageBreakBefore w:val="0"/>
        <w:widowControl/>
        <w:kinsoku/>
        <w:wordWrap/>
        <w:overflowPunct/>
        <w:topLinePunct w:val="0"/>
        <w:autoSpaceDE/>
        <w:autoSpaceDN/>
        <w:bidi w:val="0"/>
        <w:adjustRightInd/>
        <w:snapToGrid/>
        <w:spacing w:line="576" w:lineRule="exact"/>
        <w:textAlignment w:val="auto"/>
        <w:rPr>
          <w:rFonts w:hint="eastAsia" w:ascii="方正仿宋_GBK" w:hAnsi="方正仿宋_GBK" w:eastAsia="方正仿宋_GBK" w:cs="方正仿宋_GBK"/>
        </w:rPr>
      </w:pPr>
    </w:p>
    <w:p w14:paraId="7EA27A1A">
      <w:pPr>
        <w:pStyle w:val="3"/>
        <w:keepNext w:val="0"/>
        <w:keepLines w:val="0"/>
        <w:pageBreakBefore w:val="0"/>
        <w:widowControl/>
        <w:kinsoku/>
        <w:overflowPunct/>
        <w:topLinePunct w:val="0"/>
        <w:autoSpaceDE/>
        <w:autoSpaceDN/>
        <w:bidi w:val="0"/>
        <w:adjustRightInd/>
        <w:snapToGrid/>
        <w:spacing w:line="576" w:lineRule="exact"/>
        <w:jc w:val="right"/>
        <w:textAlignment w:val="auto"/>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湘潭市知识产权保护中心</w:t>
      </w:r>
    </w:p>
    <w:p w14:paraId="4BBE21E5">
      <w:pPr>
        <w:pStyle w:val="3"/>
        <w:keepNext w:val="0"/>
        <w:keepLines w:val="0"/>
        <w:pageBreakBefore w:val="0"/>
        <w:widowControl/>
        <w:kinsoku/>
        <w:wordWrap w:val="0"/>
        <w:overflowPunct/>
        <w:topLinePunct w:val="0"/>
        <w:autoSpaceDE/>
        <w:autoSpaceDN/>
        <w:bidi w:val="0"/>
        <w:adjustRightInd/>
        <w:snapToGrid/>
        <w:spacing w:line="576" w:lineRule="exact"/>
        <w:jc w:val="right"/>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lang w:val="en-US" w:eastAsia="zh-CN"/>
        </w:rPr>
        <w:t xml:space="preserve">2026年7月17日  </w:t>
      </w:r>
    </w:p>
    <w:p w14:paraId="230A8E2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b w:val="0"/>
          <w:bCs w:val="0"/>
          <w:color w:val="auto"/>
          <w:sz w:val="44"/>
          <w:szCs w:val="44"/>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0498A6C3">
      <w:pPr>
        <w:pStyle w:val="10"/>
        <w:widowControl/>
        <w:jc w:val="both"/>
        <w:rPr>
          <w:rFonts w:hint="eastAsia" w:ascii="方正小标宋简体" w:hAnsi="方正小标宋简体" w:eastAsia="方正小标宋简体" w:cs="方正小标宋简体"/>
        </w:rPr>
      </w:pPr>
    </w:p>
    <w:p w14:paraId="442DD002">
      <w:pPr>
        <w:spacing w:line="576" w:lineRule="exact"/>
        <w:jc w:val="cente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en-US" w:bidi="ar-SA"/>
        </w:rPr>
      </w:pP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en-US" w:bidi="ar-SA"/>
        </w:rPr>
        <w:t>湘潭市知识产权保护中心</w:t>
      </w:r>
    </w:p>
    <w:p w14:paraId="0B649A9F">
      <w:pPr>
        <w:spacing w:line="576" w:lineRule="exact"/>
        <w:jc w:val="cente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SA"/>
        </w:rPr>
        <w:t>专利复审</w:t>
      </w: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en-US" w:bidi="ar-SA"/>
        </w:rPr>
        <w:t>无效</w:t>
      </w: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SA"/>
        </w:rPr>
        <w:t>案件</w:t>
      </w: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en-US" w:bidi="ar-SA"/>
        </w:rPr>
        <w:t>多模式口头审理</w:t>
      </w:r>
      <w:r>
        <w:rPr>
          <w:rFonts w:hint="eastAsia" w:ascii="方正小标宋简体" w:hAnsi="方正小标宋简体" w:eastAsia="方正小标宋简体" w:cs="方正小标宋简体"/>
          <w:b w:val="0"/>
          <w:bCs w:val="0"/>
          <w:i w:val="0"/>
          <w:iCs w:val="0"/>
          <w:caps w:val="0"/>
          <w:color w:val="333333"/>
          <w:spacing w:val="0"/>
          <w:kern w:val="44"/>
          <w:sz w:val="44"/>
          <w:szCs w:val="44"/>
          <w:shd w:val="clear" w:color="auto" w:fill="FFFFFF"/>
          <w:lang w:val="en-US" w:eastAsia="zh-CN" w:bidi="ar-SA"/>
        </w:rPr>
        <w:t>服务指南</w:t>
      </w:r>
    </w:p>
    <w:p w14:paraId="1EDAAA2A">
      <w:pPr>
        <w:spacing w:line="576" w:lineRule="exact"/>
        <w:jc w:val="center"/>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（试行）</w:t>
      </w:r>
    </w:p>
    <w:p w14:paraId="7D33348A">
      <w:pPr>
        <w:spacing w:line="576" w:lineRule="exact"/>
        <w:jc w:val="center"/>
        <w:rPr>
          <w:rFonts w:hint="eastAsia" w:ascii="黑体" w:hAnsi="黑体" w:eastAsia="黑体" w:cs="黑体"/>
          <w:sz w:val="32"/>
          <w:szCs w:val="32"/>
          <w:lang w:val="en-US" w:eastAsia="en-US"/>
        </w:rPr>
      </w:pPr>
    </w:p>
    <w:p w14:paraId="035701AF">
      <w:pPr>
        <w:spacing w:line="576" w:lineRule="exact"/>
        <w:jc w:val="center"/>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黑体" w:hAnsi="黑体" w:eastAsia="黑体" w:cs="黑体"/>
          <w:sz w:val="32"/>
          <w:szCs w:val="32"/>
          <w:lang w:val="en-US" w:eastAsia="en-US"/>
        </w:rPr>
        <w:t>第一章 总则</w:t>
      </w:r>
    </w:p>
    <w:p w14:paraId="096B9EA6">
      <w:pPr>
        <w:pStyle w:val="2"/>
        <w:spacing w:line="576" w:lineRule="exact"/>
        <w:ind w:firstLine="643" w:firstLineChars="200"/>
        <w:rPr>
          <w:rFonts w:hint="eastAsia" w:ascii="方正仿宋_GBK" w:hAnsi="方正仿宋_GBK" w:eastAsia="方正仿宋_GBK" w:cs="方正仿宋_GBK"/>
          <w:color w:val="auto"/>
          <w:sz w:val="32"/>
          <w:szCs w:val="32"/>
          <w:lang w:val="en-US" w:eastAsia="en-US"/>
        </w:rPr>
      </w:pPr>
      <w:r>
        <w:rPr>
          <w:rFonts w:hint="eastAsia" w:ascii="方正仿宋_GBK" w:hAnsi="方正仿宋_GBK" w:eastAsia="方正仿宋_GBK" w:cs="方正仿宋_GBK"/>
          <w:b/>
          <w:bCs/>
          <w:sz w:val="32"/>
          <w:szCs w:val="32"/>
          <w:lang w:val="en-US" w:eastAsia="en-US"/>
        </w:rPr>
        <w:t>第一条</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color w:val="auto"/>
          <w:sz w:val="32"/>
          <w:szCs w:val="32"/>
          <w:lang w:val="en-US" w:eastAsia="en-US"/>
        </w:rPr>
        <w:t>为充分发挥湘潭市知识产权保护中心（以下简称“中心”）平台优势，创新服务模式，提高专利复审无效案件多模式口头审理效率，便利创新主体，根据国家知识产权局《知识产权保护中心支撑专利复审无效案件多模式口头审理工作指引（试行）》及有关规定，结合本市实际，制定本指南。</w:t>
      </w:r>
    </w:p>
    <w:p w14:paraId="33B5EC9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二</w:t>
      </w:r>
      <w:r>
        <w:rPr>
          <w:rFonts w:hint="eastAsia" w:ascii="方正仿宋_GBK" w:hAnsi="方正仿宋_GBK" w:eastAsia="方正仿宋_GBK" w:cs="方正仿宋_GBK"/>
          <w:b/>
          <w:bCs/>
          <w:sz w:val="32"/>
          <w:szCs w:val="32"/>
          <w:lang w:val="en-US" w:eastAsia="en-US"/>
        </w:rPr>
        <w:t>条</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sz w:val="32"/>
          <w:szCs w:val="32"/>
          <w:lang w:val="en-US" w:eastAsia="en-US"/>
        </w:rPr>
        <w:t>多模式口头审理分为远程审理、巡回审理、联合审理三类，中心根据国家知识产权局专利局复审和无效审理部（以下简称“复审无效部”）的安排或当事人的申请，组织或协助开展：</w:t>
      </w:r>
    </w:p>
    <w:p w14:paraId="27CE44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（一）远程审理：当事人依托中心专用审理室及信息化系统，以视频连线方式参加的口头审理。</w:t>
      </w:r>
    </w:p>
    <w:p w14:paraId="6B6AFC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（二）巡回审理：中心协助复审无效部在本市设立临时庭审场所进行的现场口头审理。</w:t>
      </w:r>
    </w:p>
    <w:p w14:paraId="447EC2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方正仿宋_GBK" w:hAnsi="方正仿宋_GBK" w:eastAsia="方正仿宋_GBK" w:cs="方正仿宋_GBK"/>
          <w:sz w:val="32"/>
          <w:szCs w:val="32"/>
          <w:lang w:val="en-US" w:eastAsia="en-US"/>
        </w:rPr>
        <w:t>（三）联合审理：中心衔接复审无效部，并与专利侵权纠纷行政裁决机关或司法审判机关协作，对关联的专利权无效宣告案件与侵权纠纷案件进行协同审理的模式。</w:t>
      </w:r>
    </w:p>
    <w:p w14:paraId="274F20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三</w:t>
      </w:r>
      <w:r>
        <w:rPr>
          <w:rFonts w:hint="eastAsia" w:ascii="方正仿宋_GBK" w:hAnsi="方正仿宋_GBK" w:eastAsia="方正仿宋_GBK" w:cs="方正仿宋_GBK"/>
          <w:b/>
          <w:bCs/>
          <w:sz w:val="32"/>
          <w:szCs w:val="32"/>
          <w:lang w:val="en-US" w:eastAsia="en-US"/>
        </w:rPr>
        <w:t xml:space="preserve">条 </w:t>
      </w:r>
      <w:r>
        <w:rPr>
          <w:rFonts w:hint="eastAsia" w:ascii="方正仿宋_GBK" w:hAnsi="方正仿宋_GBK" w:eastAsia="方正仿宋_GBK" w:cs="方正仿宋_GBK"/>
          <w:sz w:val="32"/>
          <w:szCs w:val="32"/>
          <w:lang w:val="en-US" w:eastAsia="en-US"/>
        </w:rPr>
        <w:t>多模式口头审理服务工作遵循“依法规范、协同高效、便民利企、公开透明”的原则，密切配合复审无效部，强化与本市司法、行政执法部门的联动，提升知识产权保护整体效能。</w:t>
      </w:r>
    </w:p>
    <w:p w14:paraId="1FB6D815">
      <w:pPr>
        <w:spacing w:line="576" w:lineRule="exact"/>
        <w:rPr>
          <w:rFonts w:hint="eastAsia" w:ascii="FangSong_GB2312" w:hAnsi="FangSong_GB2312" w:eastAsia="FangSong_GB2312" w:cs="FangSong_GB2312"/>
          <w:snapToGrid w:val="0"/>
          <w:color w:val="000000"/>
          <w:spacing w:val="22"/>
          <w:kern w:val="0"/>
          <w:sz w:val="31"/>
          <w:szCs w:val="31"/>
          <w:lang w:val="en-US" w:eastAsia="en-US" w:bidi="ar-SA"/>
        </w:rPr>
      </w:pPr>
    </w:p>
    <w:p w14:paraId="370E1E80">
      <w:pPr>
        <w:spacing w:line="576" w:lineRule="exact"/>
        <w:jc w:val="center"/>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黑体" w:hAnsi="黑体" w:eastAsia="黑体" w:cs="黑体"/>
          <w:sz w:val="32"/>
          <w:szCs w:val="32"/>
          <w:lang w:val="en-US" w:eastAsia="en-US"/>
        </w:rPr>
        <w:t>第二章 服务模式与申请条件</w:t>
      </w:r>
    </w:p>
    <w:p w14:paraId="2AFAC7F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四</w:t>
      </w:r>
      <w:r>
        <w:rPr>
          <w:rFonts w:hint="eastAsia" w:ascii="方正仿宋_GBK" w:hAnsi="方正仿宋_GBK" w:eastAsia="方正仿宋_GBK" w:cs="方正仿宋_GBK"/>
          <w:b/>
          <w:bCs/>
          <w:sz w:val="32"/>
          <w:szCs w:val="32"/>
          <w:lang w:val="en-US" w:eastAsia="en-US"/>
        </w:rPr>
        <w:t xml:space="preserve">条 </w:t>
      </w:r>
      <w:r>
        <w:rPr>
          <w:rFonts w:hint="eastAsia" w:ascii="方正仿宋_GBK" w:hAnsi="方正仿宋_GBK" w:eastAsia="方正仿宋_GBK" w:cs="方正仿宋_GBK"/>
          <w:b w:val="0"/>
          <w:bCs w:val="0"/>
          <w:sz w:val="32"/>
          <w:szCs w:val="32"/>
          <w:lang w:val="en-US" w:eastAsia="en-US"/>
        </w:rPr>
        <w:t>远程审理</w:t>
      </w:r>
    </w:p>
    <w:p w14:paraId="161FCD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（一）适用情形。</w:t>
      </w:r>
      <w:r>
        <w:rPr>
          <w:rFonts w:hint="eastAsia" w:ascii="方正仿宋_GBK" w:hAnsi="方正仿宋_GBK" w:eastAsia="方正仿宋_GBK" w:cs="方正仿宋_GBK"/>
          <w:sz w:val="32"/>
          <w:szCs w:val="32"/>
          <w:lang w:val="en-US" w:eastAsia="en-US"/>
        </w:rPr>
        <w:t>符合以下条件之一的</w:t>
      </w:r>
      <w:r>
        <w:rPr>
          <w:rFonts w:hint="eastAsia" w:ascii="方正仿宋_GBK" w:hAnsi="方正仿宋_GBK" w:eastAsia="方正仿宋_GBK" w:cs="方正仿宋_GBK"/>
          <w:sz w:val="32"/>
          <w:szCs w:val="32"/>
          <w:lang w:val="en-US" w:eastAsia="zh-CN"/>
        </w:rPr>
        <w:t>专利复审</w:t>
      </w:r>
      <w:r>
        <w:rPr>
          <w:rFonts w:hint="eastAsia" w:ascii="方正仿宋_GBK" w:hAnsi="方正仿宋_GBK" w:eastAsia="方正仿宋_GBK" w:cs="方正仿宋_GBK"/>
          <w:sz w:val="32"/>
          <w:szCs w:val="32"/>
          <w:lang w:val="en-US" w:eastAsia="en-US"/>
        </w:rPr>
        <w:t>无效案件，当事人可向中心申请远程审理支持：</w:t>
      </w:r>
    </w:p>
    <w:p w14:paraId="7A21B2A5">
      <w:pPr>
        <w:keepNext w:val="0"/>
        <w:keepLines w:val="0"/>
        <w:pageBreakBefore w:val="0"/>
        <w:widowControl w:val="0"/>
        <w:kinsoku/>
        <w:wordWrap/>
        <w:overflowPunct/>
        <w:topLinePunct w:val="0"/>
        <w:autoSpaceDE/>
        <w:autoSpaceDN/>
        <w:bidi w:val="0"/>
        <w:adjustRightInd/>
        <w:snapToGrid/>
        <w:spacing w:line="576" w:lineRule="exact"/>
        <w:ind w:firstLine="1056" w:firstLineChars="33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 xml:space="preserve">1. </w:t>
      </w:r>
      <w:r>
        <w:rPr>
          <w:rFonts w:hint="eastAsia" w:ascii="方正仿宋_GBK" w:hAnsi="方正仿宋_GBK" w:eastAsia="方正仿宋_GBK" w:cs="方正仿宋_GBK"/>
          <w:sz w:val="32"/>
          <w:szCs w:val="32"/>
          <w:lang w:val="en-US" w:eastAsia="en-US"/>
        </w:rPr>
        <w:t>案件证据均为专利文献等易于认定的证据，无需进行复杂的现场举证质证，且案情简明，争议焦点清晰；</w:t>
      </w:r>
    </w:p>
    <w:p w14:paraId="2FC0DF66">
      <w:pPr>
        <w:keepNext w:val="0"/>
        <w:keepLines w:val="0"/>
        <w:pageBreakBefore w:val="0"/>
        <w:widowControl w:val="0"/>
        <w:kinsoku/>
        <w:wordWrap/>
        <w:overflowPunct/>
        <w:topLinePunct w:val="0"/>
        <w:autoSpaceDE/>
        <w:autoSpaceDN/>
        <w:bidi w:val="0"/>
        <w:adjustRightInd/>
        <w:snapToGrid/>
        <w:spacing w:line="576" w:lineRule="exact"/>
        <w:ind w:firstLine="1056" w:firstLineChars="33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 xml:space="preserve">2. </w:t>
      </w:r>
      <w:r>
        <w:rPr>
          <w:rFonts w:hint="eastAsia" w:ascii="方正仿宋_GBK" w:hAnsi="方正仿宋_GBK" w:eastAsia="方正仿宋_GBK" w:cs="方正仿宋_GBK"/>
          <w:sz w:val="32"/>
          <w:szCs w:val="32"/>
          <w:lang w:val="en-US" w:eastAsia="en-US"/>
        </w:rPr>
        <w:t>确因距离、健康等原因不便参加线下审理；</w:t>
      </w:r>
    </w:p>
    <w:p w14:paraId="50D267EE">
      <w:pPr>
        <w:keepNext w:val="0"/>
        <w:keepLines w:val="0"/>
        <w:pageBreakBefore w:val="0"/>
        <w:widowControl w:val="0"/>
        <w:kinsoku/>
        <w:wordWrap/>
        <w:overflowPunct/>
        <w:topLinePunct w:val="0"/>
        <w:autoSpaceDE/>
        <w:autoSpaceDN/>
        <w:bidi w:val="0"/>
        <w:adjustRightInd/>
        <w:snapToGrid/>
        <w:spacing w:line="576" w:lineRule="exact"/>
        <w:ind w:firstLine="1056" w:firstLineChars="33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 xml:space="preserve">3. </w:t>
      </w:r>
      <w:r>
        <w:rPr>
          <w:rFonts w:hint="eastAsia" w:ascii="方正仿宋_GBK" w:hAnsi="方正仿宋_GBK" w:eastAsia="方正仿宋_GBK" w:cs="方正仿宋_GBK"/>
          <w:sz w:val="32"/>
          <w:szCs w:val="32"/>
          <w:lang w:val="en-US" w:eastAsia="en-US"/>
        </w:rPr>
        <w:t>确需进行远程审理的其他事由。</w:t>
      </w:r>
    </w:p>
    <w:p w14:paraId="153508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方正仿宋_GBK" w:hAnsi="方正仿宋_GBK" w:eastAsia="方正仿宋_GBK" w:cs="方正仿宋_GBK"/>
          <w:sz w:val="32"/>
          <w:szCs w:val="32"/>
          <w:lang w:val="en-US" w:eastAsia="en-US"/>
        </w:rPr>
        <w:t>（二）申请与确认。当事人向中心提交申请，经中心初步确认场地及技术支持可行后，通过专利业务办理系统向复审无效部正式提交远程审理的意见陈述书。申请远程审理的意见陈述书应当</w:t>
      </w:r>
      <w:r>
        <w:rPr>
          <w:rFonts w:hint="eastAsia" w:ascii="方正仿宋_GBK" w:hAnsi="方正仿宋_GBK" w:eastAsia="方正仿宋_GBK" w:cs="方正仿宋_GBK"/>
          <w:sz w:val="32"/>
          <w:szCs w:val="32"/>
          <w:lang w:val="en-US" w:eastAsia="zh-CN"/>
        </w:rPr>
        <w:t>注明</w:t>
      </w:r>
      <w:r>
        <w:rPr>
          <w:rFonts w:hint="eastAsia" w:ascii="方正仿宋_GBK" w:hAnsi="方正仿宋_GBK" w:eastAsia="方正仿宋_GBK" w:cs="方正仿宋_GBK"/>
          <w:sz w:val="32"/>
          <w:szCs w:val="32"/>
          <w:lang w:val="en-US" w:eastAsia="en-US"/>
        </w:rPr>
        <w:t>以下内容：基本事由、案件符合本指</w:t>
      </w:r>
      <w:r>
        <w:rPr>
          <w:rFonts w:hint="eastAsia" w:ascii="方正仿宋_GBK" w:hAnsi="方正仿宋_GBK" w:eastAsia="方正仿宋_GBK" w:cs="方正仿宋_GBK"/>
          <w:sz w:val="32"/>
          <w:szCs w:val="32"/>
          <w:lang w:val="en-US" w:eastAsia="zh-CN"/>
        </w:rPr>
        <w:t>南</w:t>
      </w:r>
      <w:r>
        <w:rPr>
          <w:rFonts w:hint="eastAsia" w:ascii="方正仿宋_GBK" w:hAnsi="方正仿宋_GBK" w:eastAsia="方正仿宋_GBK" w:cs="方正仿宋_GBK"/>
          <w:sz w:val="32"/>
          <w:szCs w:val="32"/>
          <w:lang w:val="en-US" w:eastAsia="en-US"/>
        </w:rPr>
        <w:t>第</w:t>
      </w: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lang w:val="en-US" w:eastAsia="en-US"/>
        </w:rPr>
        <w:t>条</w:t>
      </w:r>
      <w:r>
        <w:rPr>
          <w:rFonts w:hint="eastAsia" w:ascii="方正仿宋_GBK" w:hAnsi="方正仿宋_GBK" w:eastAsia="方正仿宋_GBK" w:cs="方正仿宋_GBK"/>
          <w:sz w:val="32"/>
          <w:szCs w:val="32"/>
          <w:lang w:val="en-US" w:eastAsia="zh-CN"/>
        </w:rPr>
        <w:t>第一款</w:t>
      </w:r>
      <w:r>
        <w:rPr>
          <w:rFonts w:hint="eastAsia" w:ascii="方正仿宋_GBK" w:hAnsi="方正仿宋_GBK" w:eastAsia="方正仿宋_GBK" w:cs="方正仿宋_GBK"/>
          <w:sz w:val="32"/>
          <w:szCs w:val="32"/>
          <w:lang w:val="en-US" w:eastAsia="en-US"/>
        </w:rPr>
        <w:t>所列远程审理条件的简要说明、是否经保护中心初步确认、保护中心的名称地址及联系人信息等。</w:t>
      </w:r>
    </w:p>
    <w:p w14:paraId="4EF658C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五</w:t>
      </w:r>
      <w:r>
        <w:rPr>
          <w:rFonts w:hint="eastAsia" w:ascii="方正仿宋_GBK" w:hAnsi="方正仿宋_GBK" w:eastAsia="方正仿宋_GBK" w:cs="方正仿宋_GBK"/>
          <w:b/>
          <w:bCs/>
          <w:sz w:val="32"/>
          <w:szCs w:val="32"/>
          <w:lang w:val="en-US" w:eastAsia="en-US"/>
        </w:rPr>
        <w:t xml:space="preserve">条 </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val="0"/>
          <w:bCs w:val="0"/>
          <w:sz w:val="32"/>
          <w:szCs w:val="32"/>
          <w:lang w:val="en-US" w:eastAsia="en-US"/>
        </w:rPr>
        <w:t>巡回审理</w:t>
      </w:r>
    </w:p>
    <w:p w14:paraId="39D071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方正仿宋_GBK" w:hAnsi="方正仿宋_GBK" w:eastAsia="方正仿宋_GBK" w:cs="方正仿宋_GBK"/>
          <w:sz w:val="32"/>
          <w:szCs w:val="32"/>
          <w:lang w:val="en-US" w:eastAsia="zh-CN"/>
        </w:rPr>
        <w:t>（一）适用情形。</w:t>
      </w:r>
      <w:r>
        <w:rPr>
          <w:rFonts w:hint="eastAsia" w:ascii="方正仿宋_GBK" w:hAnsi="方正仿宋_GBK" w:eastAsia="方正仿宋_GBK" w:cs="方正仿宋_GBK"/>
          <w:sz w:val="32"/>
          <w:szCs w:val="32"/>
          <w:lang w:eastAsia="en-US"/>
        </w:rPr>
        <w:t>向中心申请巡回审理，应满足下列条件：</w:t>
      </w:r>
    </w:p>
    <w:p w14:paraId="65544FC5">
      <w:pPr>
        <w:keepNext w:val="0"/>
        <w:keepLines w:val="0"/>
        <w:pageBreakBefore w:val="0"/>
        <w:widowControl w:val="0"/>
        <w:kinsoku/>
        <w:wordWrap/>
        <w:overflowPunct/>
        <w:topLinePunct w:val="0"/>
        <w:autoSpaceDE/>
        <w:autoSpaceDN/>
        <w:bidi w:val="0"/>
        <w:adjustRightInd/>
        <w:snapToGrid/>
        <w:spacing w:line="576" w:lineRule="exact"/>
        <w:ind w:firstLine="1056" w:firstLineChars="330"/>
        <w:jc w:val="both"/>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巡回审理案件的涉案当事人原则上应属于同一省份或地区</w:t>
      </w:r>
      <w:r>
        <w:rPr>
          <w:rFonts w:hint="eastAsia" w:ascii="方正仿宋_GBK" w:hAnsi="方正仿宋_GBK" w:eastAsia="方正仿宋_GBK" w:cs="方正仿宋_GBK"/>
          <w:sz w:val="32"/>
          <w:szCs w:val="32"/>
          <w:lang w:val="en-US" w:eastAsia="en-US"/>
        </w:rPr>
        <w:t>。</w:t>
      </w:r>
    </w:p>
    <w:p w14:paraId="53EDA450">
      <w:pPr>
        <w:keepNext w:val="0"/>
        <w:keepLines w:val="0"/>
        <w:pageBreakBefore w:val="0"/>
        <w:widowControl w:val="0"/>
        <w:kinsoku/>
        <w:wordWrap/>
        <w:overflowPunct/>
        <w:topLinePunct w:val="0"/>
        <w:autoSpaceDE/>
        <w:autoSpaceDN/>
        <w:bidi w:val="0"/>
        <w:adjustRightInd/>
        <w:snapToGrid/>
        <w:spacing w:line="576" w:lineRule="exact"/>
        <w:ind w:firstLine="1056" w:firstLineChars="330"/>
        <w:jc w:val="both"/>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lang w:val="en-US" w:eastAsia="en-US"/>
        </w:rPr>
        <w:t>确需进行巡回审理的其他事由。</w:t>
      </w:r>
    </w:p>
    <w:p w14:paraId="35AAE802">
      <w:pPr>
        <w:spacing w:line="576" w:lineRule="exact"/>
        <w:ind w:firstLine="640" w:firstLineChars="200"/>
        <w:rPr>
          <w:rFonts w:hint="eastAsia" w:ascii="方正仿宋_GBK" w:hAnsi="方正仿宋_GBK" w:eastAsia="方正仿宋_GBK" w:cs="方正仿宋_GBK"/>
          <w:snapToGrid/>
          <w:color w:val="000000"/>
          <w:spacing w:val="0"/>
          <w:kern w:val="2"/>
          <w:sz w:val="32"/>
          <w:szCs w:val="32"/>
          <w:lang w:val="en-US" w:eastAsia="en-US" w:bidi="ar-SA"/>
        </w:rPr>
      </w:pPr>
      <w:r>
        <w:rPr>
          <w:rFonts w:hint="eastAsia" w:ascii="方正仿宋_GBK" w:hAnsi="方正仿宋_GBK" w:eastAsia="方正仿宋_GBK" w:cs="方正仿宋_GBK"/>
          <w:snapToGrid/>
          <w:color w:val="000000"/>
          <w:spacing w:val="0"/>
          <w:kern w:val="2"/>
          <w:sz w:val="32"/>
          <w:szCs w:val="32"/>
          <w:lang w:val="en-US" w:eastAsia="en-US" w:bidi="ar-SA"/>
        </w:rPr>
        <w:t>（二）启动方式。由复审无效部</w:t>
      </w:r>
      <w:r>
        <w:rPr>
          <w:rFonts w:hint="eastAsia" w:ascii="方正仿宋_GBK" w:hAnsi="方正仿宋_GBK" w:eastAsia="方正仿宋_GBK" w:cs="方正仿宋_GBK"/>
          <w:snapToGrid/>
          <w:spacing w:val="0"/>
          <w:kern w:val="2"/>
          <w:sz w:val="32"/>
          <w:szCs w:val="32"/>
          <w:lang w:val="en-US" w:eastAsia="zh-CN" w:bidi="ar-SA"/>
        </w:rPr>
        <w:t>统筹规划</w:t>
      </w:r>
      <w:r>
        <w:rPr>
          <w:rFonts w:hint="eastAsia" w:ascii="方正仿宋_GBK" w:hAnsi="方正仿宋_GBK" w:eastAsia="方正仿宋_GBK" w:cs="方正仿宋_GBK"/>
          <w:snapToGrid/>
          <w:color w:val="000000"/>
          <w:spacing w:val="0"/>
          <w:kern w:val="2"/>
          <w:sz w:val="32"/>
          <w:szCs w:val="32"/>
          <w:lang w:val="en-US" w:eastAsia="en-US" w:bidi="ar-SA"/>
        </w:rPr>
        <w:t>。中心负责协助落实庭审场地、设备及本地协调保障工作。</w:t>
      </w:r>
    </w:p>
    <w:p w14:paraId="1A41F5FD">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六</w:t>
      </w:r>
      <w:r>
        <w:rPr>
          <w:rFonts w:hint="eastAsia" w:ascii="方正仿宋_GBK" w:hAnsi="方正仿宋_GBK" w:eastAsia="方正仿宋_GBK" w:cs="方正仿宋_GBK"/>
          <w:b/>
          <w:bCs/>
          <w:sz w:val="32"/>
          <w:szCs w:val="32"/>
          <w:lang w:val="en-US" w:eastAsia="en-US"/>
        </w:rPr>
        <w:t xml:space="preserve">条 </w:t>
      </w:r>
      <w:r>
        <w:rPr>
          <w:rFonts w:hint="eastAsia" w:ascii="方正仿宋_GBK" w:hAnsi="方正仿宋_GBK" w:eastAsia="方正仿宋_GBK" w:cs="方正仿宋_GBK"/>
          <w:b w:val="0"/>
          <w:bCs w:val="0"/>
          <w:sz w:val="32"/>
          <w:szCs w:val="32"/>
          <w:lang w:val="en-US" w:eastAsia="en-US"/>
        </w:rPr>
        <w:t>联合审理</w:t>
      </w:r>
    </w:p>
    <w:p w14:paraId="2F56B3C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auto"/>
          <w:sz w:val="32"/>
          <w:szCs w:val="32"/>
          <w:lang w:val="en-US" w:eastAsia="en-US"/>
        </w:rPr>
      </w:pPr>
      <w:r>
        <w:rPr>
          <w:rFonts w:hint="eastAsia" w:ascii="方正仿宋_GBK" w:hAnsi="方正仿宋_GBK" w:eastAsia="方正仿宋_GBK" w:cs="方正仿宋_GBK"/>
          <w:sz w:val="32"/>
          <w:szCs w:val="32"/>
          <w:lang w:val="en-US" w:eastAsia="zh-CN"/>
        </w:rPr>
        <w:t>（一）适用情形。</w:t>
      </w:r>
      <w:r>
        <w:rPr>
          <w:rFonts w:hint="eastAsia" w:ascii="方正仿宋_GBK" w:hAnsi="方正仿宋_GBK" w:eastAsia="方正仿宋_GBK" w:cs="方正仿宋_GBK"/>
          <w:sz w:val="32"/>
          <w:szCs w:val="32"/>
          <w:lang w:eastAsia="en-US"/>
        </w:rPr>
        <w:t>向中心申请</w:t>
      </w:r>
      <w:r>
        <w:rPr>
          <w:rFonts w:hint="eastAsia" w:ascii="方正仿宋_GBK" w:hAnsi="方正仿宋_GBK" w:eastAsia="方正仿宋_GBK" w:cs="方正仿宋_GBK"/>
          <w:color w:val="auto"/>
          <w:sz w:val="32"/>
          <w:szCs w:val="32"/>
          <w:lang w:val="en-US" w:eastAsia="en-US"/>
        </w:rPr>
        <w:t>联合审理，应满足下列条件</w:t>
      </w:r>
    </w:p>
    <w:p w14:paraId="2E3F08F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auto"/>
          <w:sz w:val="32"/>
          <w:szCs w:val="32"/>
          <w:lang w:val="en-US" w:eastAsia="en-US"/>
        </w:rPr>
      </w:pPr>
      <w:r>
        <w:rPr>
          <w:rFonts w:hint="eastAsia" w:ascii="方正仿宋_GBK" w:hAnsi="方正仿宋_GBK" w:eastAsia="方正仿宋_GBK" w:cs="方正仿宋_GBK"/>
          <w:color w:val="auto"/>
          <w:sz w:val="32"/>
          <w:szCs w:val="32"/>
          <w:lang w:val="en-US" w:eastAsia="zh-CN"/>
        </w:rPr>
        <w:t xml:space="preserve">1. </w:t>
      </w:r>
      <w:r>
        <w:rPr>
          <w:rFonts w:hint="eastAsia" w:ascii="方正仿宋_GBK" w:hAnsi="方正仿宋_GBK" w:eastAsia="方正仿宋_GBK" w:cs="方正仿宋_GBK"/>
          <w:color w:val="auto"/>
          <w:sz w:val="32"/>
          <w:szCs w:val="32"/>
          <w:lang w:val="en-US" w:eastAsia="en-US"/>
        </w:rPr>
        <w:t>针对无效案件涉及的专利侵权纠纷，已被地方专利侵</w:t>
      </w:r>
    </w:p>
    <w:p w14:paraId="78A1C0DA">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方正仿宋_GBK" w:hAnsi="方正仿宋_GBK" w:eastAsia="方正仿宋_GBK" w:cs="方正仿宋_GBK"/>
          <w:color w:val="auto"/>
          <w:sz w:val="32"/>
          <w:szCs w:val="32"/>
          <w:lang w:val="en-US" w:eastAsia="en-US"/>
        </w:rPr>
      </w:pPr>
      <w:r>
        <w:rPr>
          <w:rFonts w:hint="eastAsia" w:ascii="方正仿宋_GBK" w:hAnsi="方正仿宋_GBK" w:eastAsia="方正仿宋_GBK" w:cs="方正仿宋_GBK"/>
          <w:color w:val="auto"/>
          <w:sz w:val="32"/>
          <w:szCs w:val="32"/>
          <w:lang w:val="en-US" w:eastAsia="en-US"/>
        </w:rPr>
        <w:t>权纠纷行政裁决机关或司法审判机关立案；</w:t>
      </w:r>
    </w:p>
    <w:p w14:paraId="67A6C8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sz w:val="32"/>
          <w:szCs w:val="32"/>
          <w:lang w:val="en-US" w:eastAsia="zh-CN"/>
        </w:rPr>
        <w:t xml:space="preserve">2. </w:t>
      </w:r>
      <w:r>
        <w:rPr>
          <w:rFonts w:hint="eastAsia" w:ascii="方正仿宋_GBK" w:hAnsi="方正仿宋_GBK" w:eastAsia="方正仿宋_GBK" w:cs="方正仿宋_GBK"/>
          <w:color w:val="auto"/>
          <w:sz w:val="32"/>
          <w:szCs w:val="32"/>
          <w:lang w:val="en-US" w:eastAsia="zh-CN"/>
        </w:rPr>
        <w:t>行政裁决案件尚未口头审理，或民事诉讼案件尚未开庭。</w:t>
      </w:r>
    </w:p>
    <w:p w14:paraId="587C82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color w:val="auto"/>
          <w:sz w:val="32"/>
          <w:szCs w:val="32"/>
          <w:lang w:val="en-US" w:eastAsia="en-US"/>
        </w:rPr>
      </w:pPr>
      <w:r>
        <w:rPr>
          <w:rFonts w:hint="eastAsia" w:ascii="方正仿宋_GBK" w:hAnsi="方正仿宋_GBK" w:eastAsia="方正仿宋_GBK" w:cs="方正仿宋_GBK"/>
          <w:color w:val="auto"/>
          <w:sz w:val="32"/>
          <w:szCs w:val="32"/>
          <w:lang w:val="en-US" w:eastAsia="en-US"/>
        </w:rPr>
        <w:t>（</w:t>
      </w:r>
      <w:r>
        <w:rPr>
          <w:rFonts w:hint="eastAsia" w:ascii="方正仿宋_GBK" w:hAnsi="方正仿宋_GBK" w:eastAsia="方正仿宋_GBK" w:cs="方正仿宋_GBK"/>
          <w:color w:val="auto"/>
          <w:sz w:val="32"/>
          <w:szCs w:val="32"/>
          <w:lang w:val="en-US" w:eastAsia="zh-CN"/>
        </w:rPr>
        <w:t>二</w:t>
      </w:r>
      <w:r>
        <w:rPr>
          <w:rFonts w:hint="eastAsia" w:ascii="方正仿宋_GBK" w:hAnsi="方正仿宋_GBK" w:eastAsia="方正仿宋_GBK" w:cs="方正仿宋_GBK"/>
          <w:color w:val="auto"/>
          <w:sz w:val="32"/>
          <w:szCs w:val="32"/>
          <w:lang w:val="en-US" w:eastAsia="en-US"/>
        </w:rPr>
        <w:t>）协调机制。中心在收到符合条件的申请后，启动协调程序，对接复审无效部与相关司法/行政执法机关，就</w:t>
      </w:r>
      <w:r>
        <w:rPr>
          <w:rFonts w:hint="eastAsia" w:ascii="方正仿宋_GBK" w:hAnsi="方正仿宋_GBK" w:eastAsia="方正仿宋_GBK" w:cs="方正仿宋_GBK"/>
          <w:color w:val="auto"/>
          <w:sz w:val="32"/>
          <w:szCs w:val="32"/>
          <w:lang w:val="en-US" w:eastAsia="zh-CN"/>
        </w:rPr>
        <w:t>审理形式及地点</w:t>
      </w:r>
      <w:r>
        <w:rPr>
          <w:rFonts w:hint="eastAsia" w:ascii="方正仿宋_GBK" w:hAnsi="方正仿宋_GBK" w:eastAsia="方正仿宋_GBK" w:cs="方正仿宋_GBK"/>
          <w:color w:val="auto"/>
          <w:sz w:val="32"/>
          <w:szCs w:val="32"/>
          <w:lang w:val="en-US" w:eastAsia="en-US"/>
        </w:rPr>
        <w:t>等达成协同方案。</w:t>
      </w:r>
    </w:p>
    <w:p w14:paraId="64B62691">
      <w:pPr>
        <w:pStyle w:val="2"/>
        <w:spacing w:line="576" w:lineRule="exact"/>
        <w:ind w:firstLine="0" w:firstLineChars="0"/>
        <w:rPr>
          <w:rFonts w:hint="eastAsia"/>
          <w:lang w:val="en-US" w:eastAsia="en-US"/>
        </w:rPr>
      </w:pPr>
    </w:p>
    <w:p w14:paraId="2928527D">
      <w:pPr>
        <w:spacing w:line="576" w:lineRule="exact"/>
        <w:jc w:val="center"/>
        <w:rPr>
          <w:rFonts w:hint="eastAsia" w:ascii="FangSong_GB2312" w:hAnsi="FangSong_GB2312" w:eastAsia="FangSong_GB2312" w:cs="FangSong_GB2312"/>
          <w:snapToGrid w:val="0"/>
          <w:color w:val="000000"/>
          <w:spacing w:val="22"/>
          <w:kern w:val="0"/>
          <w:sz w:val="31"/>
          <w:szCs w:val="31"/>
          <w:lang w:val="en-US" w:eastAsia="en-US" w:bidi="ar-SA"/>
        </w:rPr>
      </w:pPr>
      <w:r>
        <w:rPr>
          <w:rFonts w:hint="eastAsia" w:ascii="黑体" w:hAnsi="黑体" w:eastAsia="黑体" w:cs="黑体"/>
          <w:sz w:val="32"/>
          <w:szCs w:val="32"/>
          <w:lang w:val="en-US" w:eastAsia="en-US"/>
        </w:rPr>
        <w:t>第</w:t>
      </w:r>
      <w:r>
        <w:rPr>
          <w:rFonts w:hint="eastAsia" w:ascii="黑体" w:hAnsi="黑体" w:eastAsia="黑体" w:cs="黑体"/>
          <w:sz w:val="32"/>
          <w:szCs w:val="32"/>
          <w:lang w:val="en-US" w:eastAsia="zh-CN"/>
        </w:rPr>
        <w:t>三</w:t>
      </w:r>
      <w:r>
        <w:rPr>
          <w:rFonts w:hint="eastAsia" w:ascii="黑体" w:hAnsi="黑体" w:eastAsia="黑体" w:cs="黑体"/>
          <w:sz w:val="32"/>
          <w:szCs w:val="32"/>
          <w:lang w:val="en-US" w:eastAsia="en-US"/>
        </w:rPr>
        <w:t>章 申请与办理流程</w:t>
      </w:r>
    </w:p>
    <w:p w14:paraId="0EE564E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b/>
          <w:bCs/>
          <w:sz w:val="32"/>
          <w:szCs w:val="32"/>
          <w:lang w:val="en-US" w:eastAsia="en-US"/>
        </w:rPr>
        <w:t>第</w:t>
      </w:r>
      <w:r>
        <w:rPr>
          <w:rFonts w:hint="eastAsia" w:ascii="方正仿宋_GBK" w:hAnsi="方正仿宋_GBK" w:eastAsia="方正仿宋_GBK" w:cs="方正仿宋_GBK"/>
          <w:b/>
          <w:bCs/>
          <w:sz w:val="32"/>
          <w:szCs w:val="32"/>
          <w:lang w:val="en-US" w:eastAsia="zh-CN"/>
        </w:rPr>
        <w:t>七</w:t>
      </w:r>
      <w:r>
        <w:rPr>
          <w:rFonts w:hint="eastAsia" w:ascii="方正仿宋_GBK" w:hAnsi="方正仿宋_GBK" w:eastAsia="方正仿宋_GBK" w:cs="方正仿宋_GBK"/>
          <w:b/>
          <w:bCs/>
          <w:sz w:val="32"/>
          <w:szCs w:val="32"/>
          <w:lang w:val="en-US" w:eastAsia="en-US"/>
        </w:rPr>
        <w:t>条</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sz w:val="32"/>
          <w:szCs w:val="32"/>
          <w:lang w:val="en-US" w:eastAsia="en-US"/>
        </w:rPr>
        <w:t>向中心申请多模式口头审理，应当提交以下材料的电子扫描件：</w:t>
      </w:r>
    </w:p>
    <w:p w14:paraId="51F5A6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（一）《</w:t>
      </w:r>
      <w:r>
        <w:rPr>
          <w:rFonts w:hint="eastAsia" w:ascii="方正仿宋_GBK" w:hAnsi="方正仿宋_GBK" w:eastAsia="方正仿宋_GBK" w:cs="方正仿宋_GBK"/>
          <w:sz w:val="32"/>
          <w:szCs w:val="32"/>
          <w:lang w:val="en-US" w:eastAsia="zh-CN"/>
        </w:rPr>
        <w:t>湘潭市</w:t>
      </w:r>
      <w:r>
        <w:rPr>
          <w:rFonts w:hint="eastAsia" w:ascii="方正仿宋_GBK" w:hAnsi="方正仿宋_GBK" w:eastAsia="方正仿宋_GBK" w:cs="方正仿宋_GBK"/>
          <w:sz w:val="32"/>
          <w:szCs w:val="32"/>
          <w:lang w:val="en-US" w:eastAsia="en-US"/>
        </w:rPr>
        <w:t xml:space="preserve">知识产权保护中心专利复审无效案件多模式 </w:t>
      </w:r>
    </w:p>
    <w:p w14:paraId="30516F3C">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口头审理申请表》（附件1）；</w:t>
      </w:r>
    </w:p>
    <w:p w14:paraId="274F0F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 xml:space="preserve">（二）国家知识产权局出具的《无效宣告请求受理通知书》； </w:t>
      </w:r>
    </w:p>
    <w:p w14:paraId="1D6DA9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 xml:space="preserve">（三）申请人身份证明。申请人是企事业单位的，应当提供 </w:t>
      </w:r>
    </w:p>
    <w:p w14:paraId="5BFD0E9E">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en-US"/>
        </w:rPr>
        <w:t>企业营业执照或事业单位法人证书复印件，并加盖公章；</w:t>
      </w:r>
    </w:p>
    <w:p w14:paraId="06D10F3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sz w:val="32"/>
          <w:szCs w:val="32"/>
          <w:lang w:val="en-US" w:eastAsia="zh-CN"/>
        </w:rPr>
        <w:t>（四）</w:t>
      </w:r>
      <w:r>
        <w:rPr>
          <w:rFonts w:hint="eastAsia" w:ascii="方正仿宋_GBK" w:hAnsi="方正仿宋_GBK" w:eastAsia="方正仿宋_GBK" w:cs="方正仿宋_GBK"/>
          <w:sz w:val="32"/>
          <w:szCs w:val="32"/>
          <w:lang w:val="en-US" w:eastAsia="en-US"/>
        </w:rPr>
        <w:t>关联的专利侵权纠纷立案证明材料（申请联合审理时必选）；</w:t>
      </w:r>
    </w:p>
    <w:p w14:paraId="0B7A8C12">
      <w:pPr>
        <w:spacing w:line="576" w:lineRule="exact"/>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en-US"/>
        </w:rPr>
        <w:t>（五）其他支持所申请审理模式必要性的证明文件</w:t>
      </w:r>
      <w:r>
        <w:rPr>
          <w:rFonts w:hint="eastAsia" w:ascii="方正仿宋_GBK" w:hAnsi="方正仿宋_GBK" w:eastAsia="方正仿宋_GBK" w:cs="方正仿宋_GBK"/>
          <w:sz w:val="32"/>
          <w:szCs w:val="32"/>
          <w:lang w:val="en-US" w:eastAsia="zh-CN"/>
        </w:rPr>
        <w:t>。</w:t>
      </w:r>
    </w:p>
    <w:p w14:paraId="00862205">
      <w:pPr>
        <w:keepNext w:val="0"/>
        <w:keepLines w:val="0"/>
        <w:widowControl w:val="0"/>
        <w:suppressLineNumbers w:val="0"/>
        <w:spacing w:line="576" w:lineRule="exact"/>
        <w:ind w:firstLine="643" w:firstLineChars="200"/>
        <w:jc w:val="left"/>
        <w:rPr>
          <w:rFonts w:hint="eastAsia" w:ascii="方正仿宋_GBK" w:hAnsi="方正仿宋_GBK" w:eastAsia="方正仿宋_GBK" w:cs="方正仿宋_GBK"/>
          <w:color w:val="auto"/>
          <w:kern w:val="2"/>
          <w:sz w:val="32"/>
          <w:szCs w:val="32"/>
          <w:lang w:val="en-US" w:eastAsia="en-US" w:bidi="ar"/>
        </w:rPr>
      </w:pPr>
      <w:r>
        <w:rPr>
          <w:rFonts w:hint="eastAsia" w:ascii="方正仿宋_GBK" w:hAnsi="方正仿宋_GBK" w:eastAsia="方正仿宋_GBK" w:cs="方正仿宋_GBK"/>
          <w:b/>
          <w:bCs/>
          <w:color w:val="auto"/>
          <w:kern w:val="2"/>
          <w:sz w:val="32"/>
          <w:szCs w:val="32"/>
          <w:lang w:val="en-US" w:eastAsia="en-US" w:bidi="ar"/>
        </w:rPr>
        <w:t>第</w:t>
      </w:r>
      <w:r>
        <w:rPr>
          <w:rFonts w:hint="eastAsia" w:ascii="方正仿宋_GBK" w:hAnsi="方正仿宋_GBK" w:eastAsia="方正仿宋_GBK" w:cs="方正仿宋_GBK"/>
          <w:b/>
          <w:bCs/>
          <w:color w:val="auto"/>
          <w:kern w:val="2"/>
          <w:sz w:val="32"/>
          <w:szCs w:val="32"/>
          <w:lang w:val="en-US" w:eastAsia="zh-CN" w:bidi="ar"/>
        </w:rPr>
        <w:t>八</w:t>
      </w:r>
      <w:r>
        <w:rPr>
          <w:rFonts w:hint="eastAsia" w:ascii="方正仿宋_GBK" w:hAnsi="方正仿宋_GBK" w:eastAsia="方正仿宋_GBK" w:cs="方正仿宋_GBK"/>
          <w:b/>
          <w:bCs/>
          <w:color w:val="auto"/>
          <w:kern w:val="2"/>
          <w:sz w:val="32"/>
          <w:szCs w:val="32"/>
          <w:lang w:val="en-US" w:eastAsia="en-US" w:bidi="ar"/>
        </w:rPr>
        <w:t>条</w:t>
      </w:r>
      <w:r>
        <w:rPr>
          <w:rFonts w:hint="eastAsia" w:ascii="方正仿宋_GBK" w:hAnsi="方正仿宋_GBK" w:eastAsia="方正仿宋_GBK" w:cs="方正仿宋_GBK"/>
          <w:b/>
          <w:bCs/>
          <w:color w:val="auto"/>
          <w:kern w:val="2"/>
          <w:sz w:val="32"/>
          <w:szCs w:val="32"/>
          <w:lang w:val="en-US" w:eastAsia="zh-CN" w:bidi="ar"/>
        </w:rPr>
        <w:t xml:space="preserve">  </w:t>
      </w:r>
      <w:r>
        <w:rPr>
          <w:rFonts w:hint="eastAsia" w:ascii="方正仿宋_GBK" w:hAnsi="方正仿宋_GBK" w:eastAsia="方正仿宋_GBK" w:cs="方正仿宋_GBK"/>
          <w:color w:val="auto"/>
          <w:kern w:val="2"/>
          <w:sz w:val="32"/>
          <w:szCs w:val="32"/>
          <w:lang w:val="en-US" w:eastAsia="en-US" w:bidi="ar"/>
        </w:rPr>
        <w:t>中心在收到申请材料后2个工作日内完成形式审查。</w:t>
      </w:r>
    </w:p>
    <w:p w14:paraId="543031DA">
      <w:pPr>
        <w:keepNext w:val="0"/>
        <w:keepLines w:val="0"/>
        <w:widowControl w:val="0"/>
        <w:suppressLineNumbers w:val="0"/>
        <w:spacing w:line="576" w:lineRule="exact"/>
        <w:ind w:firstLine="640" w:firstLineChars="200"/>
        <w:jc w:val="both"/>
        <w:rPr>
          <w:rFonts w:hint="eastAsia" w:ascii="方正仿宋_GBK" w:hAnsi="方正仿宋_GBK" w:eastAsia="方正仿宋_GBK" w:cs="方正仿宋_GBK"/>
          <w:color w:val="auto"/>
          <w:kern w:val="2"/>
          <w:sz w:val="32"/>
          <w:szCs w:val="32"/>
          <w:lang w:val="en-US" w:eastAsia="en-US" w:bidi="ar"/>
        </w:rPr>
      </w:pPr>
      <w:r>
        <w:rPr>
          <w:rFonts w:hint="eastAsia" w:ascii="方正仿宋_GBK" w:hAnsi="方正仿宋_GBK" w:eastAsia="方正仿宋_GBK" w:cs="方正仿宋_GBK"/>
          <w:sz w:val="32"/>
          <w:szCs w:val="32"/>
          <w:lang w:val="en-US" w:eastAsia="en-US"/>
        </w:rPr>
        <w:t>（一）</w:t>
      </w:r>
      <w:r>
        <w:rPr>
          <w:rFonts w:hint="eastAsia" w:ascii="方正仿宋_GBK" w:hAnsi="方正仿宋_GBK" w:eastAsia="方正仿宋_GBK" w:cs="方正仿宋_GBK"/>
          <w:color w:val="auto"/>
          <w:kern w:val="2"/>
          <w:sz w:val="32"/>
          <w:szCs w:val="32"/>
          <w:lang w:val="en-US" w:eastAsia="en-US" w:bidi="ar"/>
        </w:rPr>
        <w:t>材料不齐全或不符合要求的，一次性告知申请人补正；</w:t>
      </w:r>
    </w:p>
    <w:p w14:paraId="1F50BAAC">
      <w:pPr>
        <w:keepNext w:val="0"/>
        <w:keepLines w:val="0"/>
        <w:widowControl w:val="0"/>
        <w:suppressLineNumbers w:val="0"/>
        <w:spacing w:line="576" w:lineRule="exact"/>
        <w:ind w:firstLine="640" w:firstLineChars="200"/>
        <w:jc w:val="both"/>
        <w:rPr>
          <w:rFonts w:hint="eastAsia" w:ascii="方正仿宋_GBK" w:hAnsi="方正仿宋_GBK" w:eastAsia="方正仿宋_GBK" w:cs="方正仿宋_GBK"/>
          <w:color w:val="auto"/>
          <w:kern w:val="2"/>
          <w:sz w:val="32"/>
          <w:szCs w:val="32"/>
          <w:lang w:val="en-US" w:eastAsia="en-US" w:bidi="ar"/>
        </w:rPr>
      </w:pPr>
      <w:r>
        <w:rPr>
          <w:rFonts w:hint="eastAsia" w:ascii="方正仿宋_GBK" w:hAnsi="方正仿宋_GBK" w:eastAsia="方正仿宋_GBK" w:cs="方正仿宋_GBK"/>
          <w:sz w:val="32"/>
          <w:szCs w:val="32"/>
          <w:lang w:val="en-US" w:eastAsia="en-US"/>
        </w:rPr>
        <w:t>（二）</w:t>
      </w:r>
      <w:r>
        <w:rPr>
          <w:rFonts w:hint="eastAsia" w:ascii="方正仿宋_GBK" w:hAnsi="方正仿宋_GBK" w:eastAsia="方正仿宋_GBK" w:cs="方正仿宋_GBK"/>
          <w:color w:val="auto"/>
          <w:kern w:val="2"/>
          <w:sz w:val="32"/>
          <w:szCs w:val="32"/>
          <w:lang w:val="en-US" w:eastAsia="en-US" w:bidi="ar"/>
        </w:rPr>
        <w:t>不符合申请条件的，出具《不予受理通知书》并说明理由；</w:t>
      </w:r>
    </w:p>
    <w:p w14:paraId="7C845D0D">
      <w:pPr>
        <w:keepNext w:val="0"/>
        <w:keepLines w:val="0"/>
        <w:widowControl w:val="0"/>
        <w:suppressLineNumbers w:val="0"/>
        <w:spacing w:line="576" w:lineRule="exact"/>
        <w:ind w:firstLine="640" w:firstLineChars="200"/>
        <w:jc w:val="both"/>
        <w:rPr>
          <w:rFonts w:hint="eastAsia" w:ascii="方正仿宋_GBK" w:hAnsi="方正仿宋_GBK" w:eastAsia="方正仿宋_GBK" w:cs="方正仿宋_GBK"/>
          <w:color w:val="auto"/>
          <w:sz w:val="32"/>
          <w:szCs w:val="32"/>
          <w:lang w:eastAsia="en-US"/>
        </w:rPr>
      </w:pPr>
      <w:r>
        <w:rPr>
          <w:rFonts w:hint="eastAsia" w:ascii="方正仿宋_GBK" w:hAnsi="方正仿宋_GBK" w:eastAsia="方正仿宋_GBK" w:cs="方正仿宋_GBK"/>
          <w:sz w:val="32"/>
          <w:szCs w:val="32"/>
          <w:lang w:val="en-US" w:eastAsia="en-US"/>
        </w:rPr>
        <w:t>（三）</w:t>
      </w:r>
      <w:r>
        <w:rPr>
          <w:rFonts w:hint="eastAsia" w:ascii="方正仿宋_GBK" w:hAnsi="方正仿宋_GBK" w:eastAsia="方正仿宋_GBK" w:cs="方正仿宋_GBK"/>
          <w:color w:val="auto"/>
          <w:kern w:val="2"/>
          <w:sz w:val="32"/>
          <w:szCs w:val="32"/>
          <w:lang w:val="en-US" w:eastAsia="en-US" w:bidi="ar"/>
        </w:rPr>
        <w:t>符合申请条件的，予以受理，并根据所申请的审理模式，在3个工作日内与复审无效部等相关部门进行沟通协调。</w:t>
      </w:r>
    </w:p>
    <w:p w14:paraId="0A0D82D2">
      <w:pPr>
        <w:keepNext w:val="0"/>
        <w:keepLines w:val="0"/>
        <w:widowControl w:val="0"/>
        <w:suppressLineNumbers w:val="0"/>
        <w:spacing w:line="576" w:lineRule="exact"/>
        <w:ind w:firstLine="643" w:firstLineChars="200"/>
        <w:jc w:val="left"/>
        <w:rPr>
          <w:rFonts w:hint="eastAsia" w:ascii="方正仿宋_GBK" w:hAnsi="方正仿宋_GBK" w:eastAsia="方正仿宋_GBK" w:cs="方正仿宋_GBK"/>
          <w:color w:val="auto"/>
          <w:sz w:val="32"/>
          <w:szCs w:val="32"/>
          <w:lang w:eastAsia="en-US"/>
        </w:rPr>
      </w:pPr>
      <w:r>
        <w:rPr>
          <w:rFonts w:hint="eastAsia" w:ascii="方正仿宋_GBK" w:hAnsi="方正仿宋_GBK" w:eastAsia="方正仿宋_GBK" w:cs="方正仿宋_GBK"/>
          <w:b/>
          <w:bCs/>
          <w:color w:val="auto"/>
          <w:kern w:val="2"/>
          <w:sz w:val="32"/>
          <w:szCs w:val="32"/>
          <w:lang w:val="en-US" w:eastAsia="en-US" w:bidi="ar"/>
        </w:rPr>
        <w:t>第</w:t>
      </w:r>
      <w:r>
        <w:rPr>
          <w:rFonts w:hint="eastAsia" w:ascii="方正仿宋_GBK" w:hAnsi="方正仿宋_GBK" w:eastAsia="方正仿宋_GBK" w:cs="方正仿宋_GBK"/>
          <w:b/>
          <w:bCs/>
          <w:color w:val="auto"/>
          <w:kern w:val="2"/>
          <w:sz w:val="32"/>
          <w:szCs w:val="32"/>
          <w:lang w:val="en-US" w:eastAsia="zh-CN" w:bidi="ar"/>
        </w:rPr>
        <w:t>九</w:t>
      </w:r>
      <w:r>
        <w:rPr>
          <w:rFonts w:hint="eastAsia" w:ascii="方正仿宋_GBK" w:hAnsi="方正仿宋_GBK" w:eastAsia="方正仿宋_GBK" w:cs="方正仿宋_GBK"/>
          <w:b/>
          <w:bCs/>
          <w:color w:val="auto"/>
          <w:kern w:val="2"/>
          <w:sz w:val="32"/>
          <w:szCs w:val="32"/>
          <w:lang w:val="en-US" w:eastAsia="en-US" w:bidi="ar"/>
        </w:rPr>
        <w:t>条</w:t>
      </w:r>
      <w:r>
        <w:rPr>
          <w:rFonts w:hint="eastAsia" w:ascii="方正仿宋_GBK" w:hAnsi="方正仿宋_GBK" w:eastAsia="方正仿宋_GBK" w:cs="方正仿宋_GBK"/>
          <w:b/>
          <w:bCs/>
          <w:color w:val="auto"/>
          <w:kern w:val="2"/>
          <w:sz w:val="32"/>
          <w:szCs w:val="32"/>
          <w:lang w:val="en-US" w:eastAsia="zh-CN" w:bidi="ar"/>
        </w:rPr>
        <w:t xml:space="preserve">  </w:t>
      </w:r>
      <w:r>
        <w:rPr>
          <w:rFonts w:hint="eastAsia" w:ascii="方正仿宋_GBK" w:hAnsi="方正仿宋_GBK" w:eastAsia="方正仿宋_GBK" w:cs="方正仿宋_GBK"/>
          <w:color w:val="auto"/>
          <w:kern w:val="2"/>
          <w:sz w:val="32"/>
          <w:szCs w:val="32"/>
          <w:lang w:val="en-US" w:eastAsia="en-US" w:bidi="ar"/>
        </w:rPr>
        <w:t>中心在收到复审无效部等相关部门的最终确认意见后，在2个工作日内向申请人出具</w:t>
      </w:r>
      <w:r>
        <w:rPr>
          <w:rFonts w:hint="eastAsia" w:ascii="方正仿宋_GBK" w:hAnsi="方正仿宋_GBK" w:eastAsia="方正仿宋_GBK" w:cs="方正仿宋_GBK"/>
          <w:color w:val="auto"/>
          <w:kern w:val="2"/>
          <w:sz w:val="32"/>
          <w:szCs w:val="32"/>
          <w:lang w:val="en-US" w:eastAsia="zh-CN" w:bidi="ar"/>
        </w:rPr>
        <w:t>书面</w:t>
      </w:r>
      <w:r>
        <w:rPr>
          <w:rFonts w:hint="eastAsia" w:ascii="方正仿宋_GBK" w:hAnsi="方正仿宋_GBK" w:eastAsia="方正仿宋_GBK" w:cs="方正仿宋_GBK"/>
          <w:color w:val="auto"/>
          <w:kern w:val="2"/>
          <w:sz w:val="32"/>
          <w:szCs w:val="32"/>
          <w:lang w:val="en-US" w:eastAsia="en-US" w:bidi="ar"/>
        </w:rPr>
        <w:t>通知书（见附件2）。准予服务的，将一并告知审理时间、地点、所需设备及注意事项。</w:t>
      </w:r>
    </w:p>
    <w:p w14:paraId="4308A322">
      <w:pPr>
        <w:pStyle w:val="9"/>
        <w:keepNext w:val="0"/>
        <w:keepLines w:val="0"/>
        <w:widowControl/>
        <w:suppressLineNumbers w:val="0"/>
        <w:shd w:val="clear" w:color="auto" w:fill="FFFFFF"/>
        <w:spacing w:before="240" w:beforeAutospacing="0" w:after="240" w:afterAutospacing="0" w:line="576" w:lineRule="exact"/>
        <w:ind w:left="0" w:right="0" w:firstLine="0"/>
        <w:jc w:val="center"/>
        <w:rPr>
          <w:rFonts w:hint="eastAsia" w:ascii="黑体" w:hAnsi="黑体" w:eastAsia="黑体" w:cs="黑体"/>
          <w:i w:val="0"/>
          <w:iCs w:val="0"/>
          <w:caps w:val="0"/>
          <w:color w:val="0F1115"/>
          <w:spacing w:val="0"/>
          <w:sz w:val="32"/>
          <w:szCs w:val="32"/>
          <w:lang w:eastAsia="en-US"/>
        </w:rPr>
      </w:pPr>
      <w:r>
        <w:rPr>
          <w:rFonts w:hint="eastAsia" w:ascii="黑体" w:hAnsi="黑体" w:eastAsia="黑体" w:cs="黑体"/>
          <w:b w:val="0"/>
          <w:bCs w:val="0"/>
          <w:i w:val="0"/>
          <w:iCs w:val="0"/>
          <w:caps w:val="0"/>
          <w:color w:val="0F1115"/>
          <w:spacing w:val="0"/>
          <w:sz w:val="32"/>
          <w:szCs w:val="32"/>
          <w:shd w:val="clear" w:color="auto" w:fill="auto"/>
          <w:lang w:eastAsia="en-US"/>
        </w:rPr>
        <w:t>第</w:t>
      </w:r>
      <w:r>
        <w:rPr>
          <w:rFonts w:hint="eastAsia" w:ascii="黑体" w:hAnsi="黑体" w:eastAsia="黑体" w:cs="黑体"/>
          <w:b w:val="0"/>
          <w:bCs w:val="0"/>
          <w:i w:val="0"/>
          <w:iCs w:val="0"/>
          <w:caps w:val="0"/>
          <w:spacing w:val="0"/>
          <w:sz w:val="32"/>
          <w:szCs w:val="32"/>
          <w:shd w:val="clear" w:color="auto" w:fill="auto"/>
          <w:lang w:eastAsia="zh-CN"/>
        </w:rPr>
        <w:t>四</w:t>
      </w:r>
      <w:r>
        <w:rPr>
          <w:rFonts w:hint="eastAsia" w:ascii="黑体" w:hAnsi="黑体" w:eastAsia="黑体" w:cs="黑体"/>
          <w:b w:val="0"/>
          <w:bCs w:val="0"/>
          <w:i w:val="0"/>
          <w:iCs w:val="0"/>
          <w:caps w:val="0"/>
          <w:color w:val="0F1115"/>
          <w:spacing w:val="0"/>
          <w:sz w:val="32"/>
          <w:szCs w:val="32"/>
          <w:shd w:val="clear" w:color="auto" w:fill="auto"/>
          <w:lang w:eastAsia="en-US"/>
        </w:rPr>
        <w:t>章 服务保障与要求</w:t>
      </w:r>
    </w:p>
    <w:p w14:paraId="6C35C228">
      <w:pPr>
        <w:widowControl w:val="0"/>
        <w:spacing w:before="0" w:after="0" w:line="576" w:lineRule="exact"/>
        <w:ind w:firstLine="643" w:firstLineChars="200"/>
        <w:rPr>
          <w:rFonts w:hint="eastAsia" w:ascii="方正仿宋_GBK" w:hAnsi="方正仿宋_GBK" w:eastAsia="方正仿宋_GBK" w:cs="方正仿宋_GBK"/>
          <w:i w:val="0"/>
          <w:iCs w:val="0"/>
          <w:caps w:val="0"/>
          <w:spacing w:val="0"/>
          <w:sz w:val="32"/>
          <w:szCs w:val="32"/>
          <w:shd w:val="clear" w:color="auto" w:fill="auto"/>
          <w:lang w:eastAsia="en-US" w:bidi="ar"/>
        </w:rPr>
      </w:pPr>
      <w:r>
        <w:rPr>
          <w:rFonts w:hint="eastAsia" w:ascii="方正仿宋_GBK" w:hAnsi="方正仿宋_GBK" w:eastAsia="方正仿宋_GBK" w:cs="方正仿宋_GBK"/>
          <w:b/>
          <w:bCs/>
          <w:i w:val="0"/>
          <w:iCs w:val="0"/>
          <w:caps w:val="0"/>
          <w:color w:val="0F1115"/>
          <w:spacing w:val="0"/>
          <w:sz w:val="32"/>
          <w:szCs w:val="32"/>
          <w:shd w:val="clear" w:color="auto" w:fill="auto"/>
          <w:lang w:eastAsia="en-US" w:bidi="ar"/>
        </w:rPr>
        <w:t>第</w:t>
      </w:r>
      <w:r>
        <w:rPr>
          <w:rFonts w:hint="eastAsia" w:ascii="方正仿宋_GBK" w:hAnsi="方正仿宋_GBK" w:eastAsia="方正仿宋_GBK" w:cs="方正仿宋_GBK"/>
          <w:b/>
          <w:bCs/>
          <w:i w:val="0"/>
          <w:iCs w:val="0"/>
          <w:caps w:val="0"/>
          <w:color w:val="0F1115"/>
          <w:spacing w:val="0"/>
          <w:sz w:val="32"/>
          <w:szCs w:val="32"/>
          <w:shd w:val="clear" w:color="auto" w:fill="auto"/>
          <w:lang w:eastAsia="zh-CN" w:bidi="ar"/>
        </w:rPr>
        <w:t>十</w:t>
      </w:r>
      <w:r>
        <w:rPr>
          <w:rFonts w:hint="eastAsia" w:ascii="方正仿宋_GBK" w:hAnsi="方正仿宋_GBK" w:eastAsia="方正仿宋_GBK" w:cs="方正仿宋_GBK"/>
          <w:b/>
          <w:bCs/>
          <w:i w:val="0"/>
          <w:iCs w:val="0"/>
          <w:caps w:val="0"/>
          <w:color w:val="0F1115"/>
          <w:spacing w:val="0"/>
          <w:sz w:val="32"/>
          <w:szCs w:val="32"/>
          <w:shd w:val="clear" w:color="auto" w:fill="auto"/>
          <w:lang w:eastAsia="en-US" w:bidi="ar"/>
        </w:rPr>
        <w:t>条</w:t>
      </w:r>
      <w:r>
        <w:rPr>
          <w:rFonts w:hint="eastAsia" w:ascii="方正仿宋_GBK" w:hAnsi="方正仿宋_GBK" w:eastAsia="方正仿宋_GBK" w:cs="方正仿宋_GBK"/>
          <w:b/>
          <w:bCs/>
          <w:i w:val="0"/>
          <w:iCs w:val="0"/>
          <w:caps w:val="0"/>
          <w:color w:val="auto"/>
          <w:spacing w:val="0"/>
          <w:sz w:val="32"/>
          <w:szCs w:val="32"/>
          <w:shd w:val="clear" w:color="auto" w:fill="auto"/>
          <w:lang w:val="en-US" w:eastAsia="en-US" w:bidi="ar"/>
        </w:rPr>
        <w:t xml:space="preserve">  </w:t>
      </w:r>
      <w:r>
        <w:rPr>
          <w:rFonts w:hint="eastAsia" w:ascii="方正仿宋_GBK" w:hAnsi="方正仿宋_GBK" w:eastAsia="方正仿宋_GBK" w:cs="方正仿宋_GBK"/>
          <w:i w:val="0"/>
          <w:iCs w:val="0"/>
          <w:caps w:val="0"/>
          <w:color w:val="0F1115"/>
          <w:spacing w:val="0"/>
          <w:sz w:val="32"/>
          <w:szCs w:val="32"/>
          <w:shd w:val="clear" w:color="auto" w:fill="auto"/>
          <w:lang w:eastAsia="en-US" w:bidi="ar"/>
        </w:rPr>
        <w:t>获得支持的当事人应：</w:t>
      </w:r>
    </w:p>
    <w:p w14:paraId="5BECCF43">
      <w:pPr>
        <w:widowControl w:val="0"/>
        <w:spacing w:before="0" w:after="0" w:line="576" w:lineRule="exact"/>
        <w:ind w:firstLine="640" w:firstLineChars="200"/>
        <w:rPr>
          <w:rFonts w:hint="eastAsia" w:ascii="方正仿宋_GBK" w:hAnsi="方正仿宋_GBK" w:eastAsia="方正仿宋_GBK" w:cs="方正仿宋_GBK"/>
          <w:i w:val="0"/>
          <w:iCs w:val="0"/>
          <w:caps w:val="0"/>
          <w:spacing w:val="0"/>
          <w:sz w:val="32"/>
          <w:szCs w:val="32"/>
          <w:shd w:val="clear" w:color="auto" w:fill="auto"/>
          <w:lang w:eastAsia="zh-CN" w:bidi="ar"/>
        </w:rPr>
      </w:pPr>
      <w:r>
        <w:rPr>
          <w:rFonts w:hint="eastAsia" w:ascii="方正仿宋_GBK" w:hAnsi="方正仿宋_GBK" w:eastAsia="方正仿宋_GBK" w:cs="方正仿宋_GBK"/>
          <w:i w:val="0"/>
          <w:iCs w:val="0"/>
          <w:caps w:val="0"/>
          <w:spacing w:val="0"/>
          <w:sz w:val="32"/>
          <w:szCs w:val="32"/>
          <w:shd w:val="clear" w:color="auto" w:fill="auto"/>
          <w:lang w:eastAsia="en-US" w:bidi="ar"/>
        </w:rPr>
        <w:t>（一）</w:t>
      </w:r>
      <w:r>
        <w:rPr>
          <w:rFonts w:hint="eastAsia" w:ascii="方正仿宋_GBK" w:hAnsi="方正仿宋_GBK" w:eastAsia="方正仿宋_GBK" w:cs="方正仿宋_GBK"/>
          <w:i w:val="0"/>
          <w:iCs w:val="0"/>
          <w:caps w:val="0"/>
          <w:color w:val="0F1115"/>
          <w:spacing w:val="0"/>
          <w:sz w:val="32"/>
          <w:szCs w:val="32"/>
          <w:shd w:val="clear" w:color="auto" w:fill="auto"/>
          <w:lang w:eastAsia="en-US" w:bidi="ar"/>
        </w:rPr>
        <w:t>严格遵守口头审理纪律和远程审理系统操作规范</w:t>
      </w:r>
      <w:r>
        <w:rPr>
          <w:rFonts w:hint="eastAsia" w:ascii="方正仿宋_GBK" w:hAnsi="方正仿宋_GBK" w:eastAsia="方正仿宋_GBK" w:cs="方正仿宋_GBK"/>
          <w:i w:val="0"/>
          <w:iCs w:val="0"/>
          <w:caps w:val="0"/>
          <w:spacing w:val="0"/>
          <w:sz w:val="32"/>
          <w:szCs w:val="32"/>
          <w:shd w:val="clear" w:color="auto" w:fill="auto"/>
          <w:lang w:eastAsia="zh-CN" w:bidi="ar"/>
        </w:rPr>
        <w:t>；</w:t>
      </w:r>
    </w:p>
    <w:p w14:paraId="2A50CADB">
      <w:pPr>
        <w:widowControl w:val="0"/>
        <w:spacing w:before="0" w:after="0" w:line="576" w:lineRule="exact"/>
        <w:ind w:firstLine="640" w:firstLineChars="200"/>
        <w:rPr>
          <w:rFonts w:hint="eastAsia" w:ascii="方正仿宋_GBK" w:hAnsi="方正仿宋_GBK" w:eastAsia="方正仿宋_GBK" w:cs="方正仿宋_GBK"/>
          <w:i w:val="0"/>
          <w:iCs w:val="0"/>
          <w:caps w:val="0"/>
          <w:spacing w:val="0"/>
          <w:sz w:val="32"/>
          <w:szCs w:val="32"/>
          <w:shd w:val="clear" w:color="auto" w:fill="auto"/>
          <w:lang w:eastAsia="en-US" w:bidi="ar"/>
        </w:rPr>
      </w:pPr>
      <w:r>
        <w:rPr>
          <w:rFonts w:hint="eastAsia" w:ascii="方正仿宋_GBK" w:hAnsi="方正仿宋_GBK" w:eastAsia="方正仿宋_GBK" w:cs="方正仿宋_GBK"/>
          <w:i w:val="0"/>
          <w:iCs w:val="0"/>
          <w:caps w:val="0"/>
          <w:spacing w:val="0"/>
          <w:sz w:val="32"/>
          <w:szCs w:val="32"/>
          <w:shd w:val="clear" w:color="auto" w:fill="auto"/>
          <w:lang w:eastAsia="zh-CN" w:bidi="ar"/>
        </w:rPr>
        <w:t>（二）</w:t>
      </w:r>
      <w:r>
        <w:rPr>
          <w:rFonts w:hint="eastAsia" w:ascii="方正仿宋_GBK" w:hAnsi="方正仿宋_GBK" w:eastAsia="方正仿宋_GBK" w:cs="方正仿宋_GBK"/>
          <w:i w:val="0"/>
          <w:iCs w:val="0"/>
          <w:caps w:val="0"/>
          <w:color w:val="0F1115"/>
          <w:spacing w:val="0"/>
          <w:sz w:val="32"/>
          <w:szCs w:val="32"/>
          <w:shd w:val="clear" w:color="auto" w:fill="auto"/>
          <w:lang w:eastAsia="en-US" w:bidi="ar"/>
        </w:rPr>
        <w:t>指定专人作为联络员，配合中心及审理部门做好庭前测试、文件交换、设备调试等工作；</w:t>
      </w:r>
    </w:p>
    <w:p w14:paraId="123E7BA5">
      <w:pPr>
        <w:widowControl w:val="0"/>
        <w:spacing w:before="0" w:after="0" w:line="576" w:lineRule="exact"/>
        <w:ind w:firstLine="640" w:firstLineChars="200"/>
        <w:rPr>
          <w:rFonts w:hint="eastAsia" w:ascii="方正仿宋_GBK" w:hAnsi="方正仿宋_GBK" w:eastAsia="方正仿宋_GBK" w:cs="方正仿宋_GBK"/>
          <w:i w:val="0"/>
          <w:iCs w:val="0"/>
          <w:caps w:val="0"/>
          <w:color w:val="0F1115"/>
          <w:spacing w:val="0"/>
          <w:sz w:val="32"/>
          <w:szCs w:val="32"/>
          <w:lang w:eastAsia="en-US" w:bidi="ar"/>
        </w:rPr>
      </w:pPr>
      <w:r>
        <w:rPr>
          <w:rFonts w:hint="eastAsia" w:ascii="方正仿宋_GBK" w:hAnsi="方正仿宋_GBK" w:eastAsia="方正仿宋_GBK" w:cs="方正仿宋_GBK"/>
          <w:i w:val="0"/>
          <w:iCs w:val="0"/>
          <w:caps w:val="0"/>
          <w:spacing w:val="0"/>
          <w:sz w:val="32"/>
          <w:szCs w:val="32"/>
          <w:shd w:val="clear" w:color="auto" w:fill="auto"/>
          <w:lang w:eastAsia="zh-CN" w:bidi="ar"/>
        </w:rPr>
        <w:t>（三）</w:t>
      </w:r>
      <w:r>
        <w:rPr>
          <w:rFonts w:hint="eastAsia" w:ascii="方正仿宋_GBK" w:hAnsi="方正仿宋_GBK" w:eastAsia="方正仿宋_GBK" w:cs="方正仿宋_GBK"/>
          <w:i w:val="0"/>
          <w:iCs w:val="0"/>
          <w:caps w:val="0"/>
          <w:color w:val="0F1115"/>
          <w:spacing w:val="0"/>
          <w:sz w:val="32"/>
          <w:szCs w:val="32"/>
          <w:shd w:val="clear" w:color="auto" w:fill="auto"/>
          <w:lang w:eastAsia="en-US" w:bidi="ar"/>
        </w:rPr>
        <w:t>不得擅自录音、录像、拍照或传播审理过程。</w:t>
      </w:r>
    </w:p>
    <w:p w14:paraId="5ED230C7">
      <w:pPr>
        <w:pStyle w:val="9"/>
        <w:keepNext w:val="0"/>
        <w:keepLines w:val="0"/>
        <w:widowControl/>
        <w:suppressLineNumbers w:val="0"/>
        <w:shd w:val="clear" w:color="auto" w:fill="FFFFFF"/>
        <w:spacing w:before="0" w:beforeAutospacing="0" w:after="0" w:afterAutospacing="0" w:line="576" w:lineRule="exact"/>
        <w:ind w:left="0" w:right="0" w:firstLine="643" w:firstLineChars="200"/>
        <w:rPr>
          <w:rFonts w:hint="eastAsia" w:ascii="方正仿宋_GBK" w:hAnsi="方正仿宋_GBK" w:eastAsia="方正仿宋_GBK" w:cs="方正仿宋_GBK"/>
          <w:i w:val="0"/>
          <w:iCs w:val="0"/>
          <w:caps w:val="0"/>
          <w:color w:val="auto"/>
          <w:spacing w:val="0"/>
          <w:sz w:val="32"/>
          <w:szCs w:val="32"/>
          <w:shd w:val="clear" w:color="auto" w:fill="auto"/>
          <w:lang w:eastAsia="en-US" w:bidi="ar"/>
        </w:rPr>
      </w:pP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第十</w:t>
      </w:r>
      <w:r>
        <w:rPr>
          <w:rFonts w:hint="eastAsia" w:ascii="方正仿宋_GBK" w:hAnsi="方正仿宋_GBK" w:eastAsia="方正仿宋_GBK" w:cs="方正仿宋_GBK"/>
          <w:b/>
          <w:bCs/>
          <w:i w:val="0"/>
          <w:iCs w:val="0"/>
          <w:caps w:val="0"/>
          <w:color w:val="auto"/>
          <w:spacing w:val="0"/>
          <w:sz w:val="32"/>
          <w:szCs w:val="32"/>
          <w:shd w:val="clear" w:color="auto" w:fill="auto"/>
          <w:lang w:eastAsia="zh-CN" w:bidi="ar"/>
        </w:rPr>
        <w:t>一</w:t>
      </w: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条</w:t>
      </w:r>
      <w:r>
        <w:rPr>
          <w:rFonts w:hint="eastAsia" w:ascii="方正仿宋_GBK" w:hAnsi="方正仿宋_GBK" w:eastAsia="方正仿宋_GBK" w:cs="方正仿宋_GBK"/>
          <w:b w:val="0"/>
          <w:bCs w:val="0"/>
          <w:i w:val="0"/>
          <w:iCs w:val="0"/>
          <w:caps w:val="0"/>
          <w:color w:val="auto"/>
          <w:spacing w:val="0"/>
          <w:sz w:val="32"/>
          <w:szCs w:val="32"/>
          <w:shd w:val="clear" w:color="auto" w:fill="auto"/>
          <w:lang w:val="en-US" w:eastAsia="zh-CN" w:bidi="ar"/>
        </w:rPr>
        <w:t xml:space="preserve">  </w:t>
      </w:r>
      <w:r>
        <w:rPr>
          <w:rFonts w:hint="eastAsia" w:ascii="方正仿宋_GBK" w:hAnsi="方正仿宋_GBK" w:eastAsia="方正仿宋_GBK" w:cs="方正仿宋_GBK"/>
          <w:i w:val="0"/>
          <w:iCs w:val="0"/>
          <w:caps w:val="0"/>
          <w:color w:val="auto"/>
          <w:spacing w:val="0"/>
          <w:sz w:val="32"/>
          <w:szCs w:val="32"/>
          <w:shd w:val="clear" w:color="auto" w:fill="auto"/>
          <w:lang w:eastAsia="en-US" w:bidi="ar"/>
        </w:rPr>
        <w:t>中心提供以下保障：</w:t>
      </w:r>
    </w:p>
    <w:p w14:paraId="64D3A8C7">
      <w:pPr>
        <w:pStyle w:val="9"/>
        <w:keepNext w:val="0"/>
        <w:keepLines w:val="0"/>
        <w:widowControl/>
        <w:suppressLineNumbers w:val="0"/>
        <w:shd w:val="clear" w:color="auto" w:fill="FFFFFF"/>
        <w:spacing w:before="0" w:beforeAutospacing="0" w:after="0" w:afterAutospacing="0" w:line="576" w:lineRule="exact"/>
        <w:ind w:left="0" w:right="0" w:firstLine="640" w:firstLineChars="200"/>
        <w:rPr>
          <w:rFonts w:hint="eastAsia" w:ascii="方正仿宋_GBK" w:hAnsi="方正仿宋_GBK" w:eastAsia="方正仿宋_GBK" w:cs="方正仿宋_GBK"/>
          <w:i w:val="0"/>
          <w:iCs w:val="0"/>
          <w:caps w:val="0"/>
          <w:color w:val="auto"/>
          <w:spacing w:val="0"/>
          <w:sz w:val="32"/>
          <w:szCs w:val="32"/>
          <w:shd w:val="clear" w:color="auto" w:fill="auto"/>
          <w:lang w:eastAsia="en-US" w:bidi="ar"/>
        </w:rPr>
      </w:pPr>
      <w:r>
        <w:rPr>
          <w:rFonts w:hint="eastAsia" w:ascii="方正仿宋_GBK" w:hAnsi="方正仿宋_GBK" w:eastAsia="方正仿宋_GBK" w:cs="方正仿宋_GBK"/>
          <w:i w:val="0"/>
          <w:iCs w:val="0"/>
          <w:caps w:val="0"/>
          <w:color w:val="auto"/>
          <w:spacing w:val="0"/>
          <w:sz w:val="32"/>
          <w:szCs w:val="32"/>
          <w:shd w:val="clear" w:color="auto" w:fill="auto"/>
          <w:lang w:eastAsia="en-US" w:bidi="ar"/>
        </w:rPr>
        <w:t>（一）免费提供符合要求的专用审理室、高清视频会议终端、网络接入、证据展示台等必要设施；</w:t>
      </w:r>
    </w:p>
    <w:p w14:paraId="0113ADB1">
      <w:pPr>
        <w:pStyle w:val="9"/>
        <w:keepNext w:val="0"/>
        <w:keepLines w:val="0"/>
        <w:widowControl/>
        <w:suppressLineNumbers w:val="0"/>
        <w:shd w:val="clear" w:color="auto" w:fill="FFFFFF"/>
        <w:spacing w:before="0" w:beforeAutospacing="0" w:after="0" w:afterAutospacing="0" w:line="576" w:lineRule="exact"/>
        <w:ind w:left="0" w:right="0" w:firstLine="640" w:firstLineChars="200"/>
        <w:rPr>
          <w:rFonts w:hint="eastAsia" w:ascii="方正仿宋_GBK" w:hAnsi="方正仿宋_GBK" w:eastAsia="方正仿宋_GBK" w:cs="方正仿宋_GBK"/>
          <w:i w:val="0"/>
          <w:iCs w:val="0"/>
          <w:caps w:val="0"/>
          <w:color w:val="auto"/>
          <w:spacing w:val="0"/>
          <w:sz w:val="32"/>
          <w:szCs w:val="32"/>
          <w:shd w:val="clear" w:color="auto" w:fill="auto"/>
          <w:lang w:eastAsia="en-US" w:bidi="ar"/>
        </w:rPr>
      </w:pPr>
      <w:r>
        <w:rPr>
          <w:rFonts w:hint="eastAsia" w:ascii="方正仿宋_GBK" w:hAnsi="方正仿宋_GBK" w:eastAsia="方正仿宋_GBK" w:cs="方正仿宋_GBK"/>
          <w:i w:val="0"/>
          <w:iCs w:val="0"/>
          <w:caps w:val="0"/>
          <w:color w:val="auto"/>
          <w:spacing w:val="0"/>
          <w:sz w:val="32"/>
          <w:szCs w:val="32"/>
          <w:shd w:val="clear" w:color="auto" w:fill="auto"/>
          <w:lang w:eastAsia="en-US" w:bidi="ar"/>
        </w:rPr>
        <w:t>（二）安排专人提供庭前设备测试、庭审中技术支持和现场秩序维护等服务；</w:t>
      </w:r>
    </w:p>
    <w:p w14:paraId="16D9CC6F">
      <w:pPr>
        <w:pStyle w:val="9"/>
        <w:keepNext w:val="0"/>
        <w:keepLines w:val="0"/>
        <w:widowControl/>
        <w:suppressLineNumbers w:val="0"/>
        <w:shd w:val="clear" w:color="auto" w:fill="FFFFFF"/>
        <w:spacing w:before="0" w:beforeAutospacing="0" w:after="0" w:afterAutospacing="0" w:line="576" w:lineRule="exact"/>
        <w:ind w:left="0" w:right="0" w:firstLine="640" w:firstLineChars="200"/>
        <w:rPr>
          <w:rFonts w:hint="eastAsia" w:ascii="方正仿宋_GBK" w:hAnsi="方正仿宋_GBK" w:eastAsia="方正仿宋_GBK" w:cs="方正仿宋_GBK"/>
          <w:i w:val="0"/>
          <w:iCs w:val="0"/>
          <w:caps w:val="0"/>
          <w:color w:val="auto"/>
          <w:spacing w:val="0"/>
          <w:sz w:val="32"/>
          <w:szCs w:val="32"/>
          <w:lang w:eastAsia="en-US" w:bidi="ar"/>
        </w:rPr>
      </w:pPr>
      <w:r>
        <w:rPr>
          <w:rFonts w:hint="eastAsia" w:ascii="方正仿宋_GBK" w:hAnsi="方正仿宋_GBK" w:eastAsia="方正仿宋_GBK" w:cs="方正仿宋_GBK"/>
          <w:i w:val="0"/>
          <w:iCs w:val="0"/>
          <w:caps w:val="0"/>
          <w:color w:val="auto"/>
          <w:spacing w:val="0"/>
          <w:sz w:val="32"/>
          <w:szCs w:val="32"/>
          <w:shd w:val="clear" w:color="auto" w:fill="auto"/>
          <w:lang w:eastAsia="en-US" w:bidi="ar"/>
        </w:rPr>
        <w:t>（三）联合审理中，协助做好案件材料流转、合议组与审判/裁决机关的沟通协调。</w:t>
      </w:r>
    </w:p>
    <w:p w14:paraId="1A057715">
      <w:pPr>
        <w:pStyle w:val="9"/>
        <w:keepNext w:val="0"/>
        <w:keepLines w:val="0"/>
        <w:widowControl/>
        <w:suppressLineNumbers w:val="0"/>
        <w:shd w:val="clear" w:color="auto" w:fill="FFFFFF"/>
        <w:spacing w:before="0" w:beforeAutospacing="0" w:after="0" w:afterAutospacing="0" w:line="576" w:lineRule="exact"/>
        <w:ind w:left="0" w:right="0" w:firstLine="643" w:firstLineChars="200"/>
        <w:rPr>
          <w:rFonts w:hint="eastAsia" w:ascii="方正仿宋_GBK" w:hAnsi="方正仿宋_GBK" w:eastAsia="方正仿宋_GBK" w:cs="方正仿宋_GBK"/>
          <w:i w:val="0"/>
          <w:iCs w:val="0"/>
          <w:caps w:val="0"/>
          <w:color w:val="auto"/>
          <w:spacing w:val="0"/>
          <w:sz w:val="32"/>
          <w:szCs w:val="32"/>
          <w:lang w:eastAsia="en-US" w:bidi="ar"/>
        </w:rPr>
      </w:pP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第十</w:t>
      </w:r>
      <w:r>
        <w:rPr>
          <w:rFonts w:hint="eastAsia" w:ascii="方正仿宋_GBK" w:hAnsi="方正仿宋_GBK" w:eastAsia="方正仿宋_GBK" w:cs="方正仿宋_GBK"/>
          <w:b/>
          <w:bCs/>
          <w:i w:val="0"/>
          <w:iCs w:val="0"/>
          <w:caps w:val="0"/>
          <w:color w:val="auto"/>
          <w:spacing w:val="0"/>
          <w:sz w:val="32"/>
          <w:szCs w:val="32"/>
          <w:shd w:val="clear" w:color="auto" w:fill="auto"/>
          <w:lang w:eastAsia="zh-CN" w:bidi="ar"/>
        </w:rPr>
        <w:t>二</w:t>
      </w: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条</w:t>
      </w:r>
      <w:r>
        <w:rPr>
          <w:rFonts w:hint="eastAsia" w:ascii="方正仿宋_GBK" w:hAnsi="方正仿宋_GBK" w:eastAsia="方正仿宋_GBK" w:cs="方正仿宋_GBK"/>
          <w:b w:val="0"/>
          <w:bCs w:val="0"/>
          <w:i w:val="0"/>
          <w:iCs w:val="0"/>
          <w:caps w:val="0"/>
          <w:color w:val="auto"/>
          <w:spacing w:val="0"/>
          <w:sz w:val="32"/>
          <w:szCs w:val="32"/>
          <w:shd w:val="clear" w:color="auto" w:fill="auto"/>
          <w:lang w:val="en-US" w:eastAsia="zh-CN" w:bidi="ar"/>
        </w:rPr>
        <w:t xml:space="preserve"> </w:t>
      </w:r>
      <w:r>
        <w:rPr>
          <w:rFonts w:hint="eastAsia" w:ascii="方正仿宋_GBK" w:hAnsi="方正仿宋_GBK" w:eastAsia="方正仿宋_GBK" w:cs="方正仿宋_GBK"/>
          <w:i w:val="0"/>
          <w:iCs w:val="0"/>
          <w:caps w:val="0"/>
          <w:color w:val="auto"/>
          <w:spacing w:val="0"/>
          <w:sz w:val="32"/>
          <w:szCs w:val="32"/>
          <w:shd w:val="clear" w:color="auto" w:fill="auto"/>
          <w:lang w:eastAsia="en-US" w:bidi="ar"/>
        </w:rPr>
        <w:t>参与审理的全部人员（包括中心工作人员）对审理过程中接触到的案件信息负有保密义务，未经许可不得泄露。中心工作人员应恪守廉洁纪律，不得干预案件实体审理。</w:t>
      </w:r>
    </w:p>
    <w:p w14:paraId="04947AA4">
      <w:pPr>
        <w:spacing w:line="576" w:lineRule="exact"/>
        <w:rPr>
          <w:rFonts w:hint="eastAsia" w:ascii="FangSong_GB2312" w:hAnsi="FangSong_GB2312" w:eastAsia="FangSong_GB2312" w:cs="FangSong_GB2312"/>
          <w:snapToGrid w:val="0"/>
          <w:color w:val="000000"/>
          <w:spacing w:val="22"/>
          <w:kern w:val="0"/>
          <w:sz w:val="31"/>
          <w:szCs w:val="31"/>
          <w:lang w:val="en-US" w:eastAsia="en-US" w:bidi="ar-SA"/>
        </w:rPr>
      </w:pPr>
    </w:p>
    <w:p w14:paraId="57E32B57">
      <w:pPr>
        <w:spacing w:line="576" w:lineRule="exact"/>
        <w:jc w:val="center"/>
        <w:rPr>
          <w:rFonts w:hint="eastAsia"/>
          <w:lang w:val="en-US" w:eastAsia="en-US"/>
        </w:rPr>
      </w:pPr>
      <w:r>
        <w:rPr>
          <w:rFonts w:hint="eastAsia" w:ascii="黑体" w:hAnsi="黑体" w:eastAsia="黑体" w:cs="黑体"/>
          <w:sz w:val="32"/>
          <w:szCs w:val="32"/>
          <w:lang w:val="en-US" w:eastAsia="en-US"/>
        </w:rPr>
        <w:t>第</w:t>
      </w:r>
      <w:r>
        <w:rPr>
          <w:rFonts w:hint="eastAsia" w:ascii="黑体" w:hAnsi="黑体" w:eastAsia="黑体" w:cs="黑体"/>
          <w:sz w:val="32"/>
          <w:szCs w:val="32"/>
          <w:lang w:val="en-US" w:eastAsia="zh-CN"/>
        </w:rPr>
        <w:t>五</w:t>
      </w:r>
      <w:r>
        <w:rPr>
          <w:rFonts w:hint="eastAsia" w:ascii="黑体" w:hAnsi="黑体" w:eastAsia="黑体" w:cs="黑体"/>
          <w:sz w:val="32"/>
          <w:szCs w:val="32"/>
          <w:lang w:val="en-US" w:eastAsia="en-US"/>
        </w:rPr>
        <w:t>章 附则</w:t>
      </w:r>
    </w:p>
    <w:p w14:paraId="39648012">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第十</w:t>
      </w:r>
      <w:r>
        <w:rPr>
          <w:rFonts w:hint="eastAsia" w:ascii="方正仿宋_GBK" w:hAnsi="方正仿宋_GBK" w:eastAsia="方正仿宋_GBK" w:cs="方正仿宋_GBK"/>
          <w:b/>
          <w:bCs/>
          <w:i w:val="0"/>
          <w:iCs w:val="0"/>
          <w:caps w:val="0"/>
          <w:color w:val="auto"/>
          <w:spacing w:val="0"/>
          <w:sz w:val="32"/>
          <w:szCs w:val="32"/>
          <w:shd w:val="clear" w:color="auto" w:fill="auto"/>
          <w:lang w:eastAsia="zh-CN" w:bidi="ar"/>
        </w:rPr>
        <w:t>三</w:t>
      </w: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条</w:t>
      </w:r>
      <w:r>
        <w:rPr>
          <w:rFonts w:hint="eastAsia" w:ascii="方正仿宋_GBK" w:hAnsi="方正仿宋_GBK" w:eastAsia="方正仿宋_GBK" w:cs="方正仿宋_GBK"/>
          <w:b/>
          <w:bCs/>
          <w:i w:val="0"/>
          <w:iCs w:val="0"/>
          <w:caps w:val="0"/>
          <w:color w:val="auto"/>
          <w:spacing w:val="0"/>
          <w:sz w:val="32"/>
          <w:szCs w:val="32"/>
          <w:shd w:val="clear" w:color="auto" w:fill="auto"/>
          <w:lang w:val="en-US" w:eastAsia="zh-CN" w:bidi="ar"/>
        </w:rPr>
        <w:t xml:space="preserve"> </w:t>
      </w:r>
      <w:r>
        <w:rPr>
          <w:rFonts w:hint="eastAsia" w:ascii="方正仿宋_GBK" w:hAnsi="方正仿宋_GBK" w:eastAsia="方正仿宋_GBK" w:cs="方正仿宋_GBK"/>
          <w:b w:val="0"/>
          <w:bCs w:val="0"/>
          <w:color w:val="000000"/>
          <w:kern w:val="2"/>
          <w:sz w:val="32"/>
          <w:szCs w:val="32"/>
          <w:lang w:val="en-US" w:eastAsia="zh-CN" w:bidi="ar"/>
        </w:rPr>
        <w:t>湘潭市知识产权</w:t>
      </w:r>
      <w:r>
        <w:rPr>
          <w:rFonts w:hint="eastAsia" w:ascii="方正仿宋_GBK" w:hAnsi="方正仿宋_GBK" w:eastAsia="方正仿宋_GBK" w:cs="方正仿宋_GBK"/>
          <w:b w:val="0"/>
          <w:bCs w:val="0"/>
          <w:color w:val="000000"/>
          <w:kern w:val="2"/>
          <w:sz w:val="32"/>
          <w:szCs w:val="32"/>
          <w:lang w:val="en-US" w:eastAsia="en-US" w:bidi="ar"/>
        </w:rPr>
        <w:t>保护中心开展多模式口头审理，不收取任何费用，并提供必要的场地和设备支持。</w:t>
      </w:r>
    </w:p>
    <w:p w14:paraId="47607546">
      <w:pPr>
        <w:widowControl w:val="0"/>
        <w:numPr>
          <w:ilvl w:val="0"/>
          <w:numId w:val="0"/>
        </w:numPr>
        <w:spacing w:line="576" w:lineRule="exact"/>
        <w:ind w:firstLine="643" w:firstLineChars="200"/>
        <w:jc w:val="left"/>
        <w:rPr>
          <w:rFonts w:hint="eastAsia" w:ascii="方正仿宋_GBK" w:hAnsi="方正仿宋_GBK" w:eastAsia="方正仿宋_GBK" w:cs="方正仿宋_GBK"/>
          <w:b w:val="0"/>
          <w:bCs w:val="0"/>
          <w:sz w:val="32"/>
          <w:szCs w:val="32"/>
          <w:lang w:val="en-US" w:eastAsia="en-US"/>
        </w:rPr>
      </w:pP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第十</w:t>
      </w:r>
      <w:r>
        <w:rPr>
          <w:rFonts w:hint="eastAsia" w:ascii="方正仿宋_GBK" w:hAnsi="方正仿宋_GBK" w:eastAsia="方正仿宋_GBK" w:cs="方正仿宋_GBK"/>
          <w:b/>
          <w:bCs/>
          <w:i w:val="0"/>
          <w:iCs w:val="0"/>
          <w:caps w:val="0"/>
          <w:color w:val="auto"/>
          <w:spacing w:val="0"/>
          <w:sz w:val="32"/>
          <w:szCs w:val="32"/>
          <w:shd w:val="clear" w:color="auto" w:fill="auto"/>
          <w:lang w:eastAsia="zh-CN" w:bidi="ar"/>
        </w:rPr>
        <w:t>四</w:t>
      </w: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条</w:t>
      </w:r>
      <w:r>
        <w:rPr>
          <w:rFonts w:hint="eastAsia" w:ascii="方正仿宋_GBK" w:hAnsi="方正仿宋_GBK" w:eastAsia="方正仿宋_GBK" w:cs="方正仿宋_GBK"/>
          <w:b/>
          <w:bCs/>
          <w:i w:val="0"/>
          <w:iCs w:val="0"/>
          <w:caps w:val="0"/>
          <w:color w:val="auto"/>
          <w:spacing w:val="0"/>
          <w:sz w:val="32"/>
          <w:szCs w:val="32"/>
          <w:shd w:val="clear" w:color="auto" w:fill="auto"/>
          <w:lang w:val="en-US" w:eastAsia="zh-CN" w:bidi="ar"/>
        </w:rPr>
        <w:t xml:space="preserve"> </w:t>
      </w:r>
      <w:r>
        <w:rPr>
          <w:rFonts w:hint="eastAsia" w:ascii="方正仿宋_GBK" w:hAnsi="方正仿宋_GBK" w:eastAsia="方正仿宋_GBK" w:cs="方正仿宋_GBK"/>
          <w:sz w:val="32"/>
          <w:szCs w:val="32"/>
          <w:lang w:val="en-US" w:eastAsia="en-US"/>
        </w:rPr>
        <w:t>本</w:t>
      </w:r>
      <w:r>
        <w:rPr>
          <w:rFonts w:hint="eastAsia" w:ascii="方正仿宋_GBK" w:hAnsi="方正仿宋_GBK" w:eastAsia="方正仿宋_GBK" w:cs="方正仿宋_GBK"/>
          <w:sz w:val="32"/>
          <w:szCs w:val="32"/>
          <w:lang w:val="en-US" w:eastAsia="zh-CN"/>
        </w:rPr>
        <w:t>指南</w:t>
      </w:r>
      <w:r>
        <w:rPr>
          <w:rFonts w:hint="eastAsia" w:ascii="方正仿宋_GBK" w:hAnsi="方正仿宋_GBK" w:eastAsia="方正仿宋_GBK" w:cs="方正仿宋_GBK"/>
          <w:sz w:val="32"/>
          <w:szCs w:val="32"/>
          <w:lang w:val="en-US" w:eastAsia="en-US"/>
        </w:rPr>
        <w:t>由湘潭市知识产权保护中心负责解释。</w:t>
      </w:r>
    </w:p>
    <w:p w14:paraId="5C15411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方正仿宋_GBK" w:hAnsi="方正仿宋_GBK" w:eastAsia="方正仿宋_GBK" w:cs="方正仿宋_GBK"/>
          <w:sz w:val="32"/>
          <w:szCs w:val="32"/>
          <w:lang w:val="en-US" w:eastAsia="en-US"/>
        </w:rPr>
      </w:pP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第十</w:t>
      </w:r>
      <w:r>
        <w:rPr>
          <w:rFonts w:hint="eastAsia" w:ascii="方正仿宋_GBK" w:hAnsi="方正仿宋_GBK" w:eastAsia="方正仿宋_GBK" w:cs="方正仿宋_GBK"/>
          <w:b/>
          <w:bCs/>
          <w:i w:val="0"/>
          <w:iCs w:val="0"/>
          <w:caps w:val="0"/>
          <w:color w:val="auto"/>
          <w:spacing w:val="0"/>
          <w:sz w:val="32"/>
          <w:szCs w:val="32"/>
          <w:shd w:val="clear" w:color="auto" w:fill="auto"/>
          <w:lang w:eastAsia="zh-CN" w:bidi="ar"/>
        </w:rPr>
        <w:t>五</w:t>
      </w:r>
      <w:r>
        <w:rPr>
          <w:rFonts w:hint="eastAsia" w:ascii="方正仿宋_GBK" w:hAnsi="方正仿宋_GBK" w:eastAsia="方正仿宋_GBK" w:cs="方正仿宋_GBK"/>
          <w:b/>
          <w:bCs/>
          <w:i w:val="0"/>
          <w:iCs w:val="0"/>
          <w:caps w:val="0"/>
          <w:color w:val="auto"/>
          <w:spacing w:val="0"/>
          <w:sz w:val="32"/>
          <w:szCs w:val="32"/>
          <w:shd w:val="clear" w:color="auto" w:fill="auto"/>
          <w:lang w:eastAsia="en-US" w:bidi="ar"/>
        </w:rPr>
        <w:t>条</w:t>
      </w:r>
      <w:r>
        <w:rPr>
          <w:rFonts w:hint="eastAsia" w:ascii="方正仿宋_GBK" w:hAnsi="方正仿宋_GBK" w:eastAsia="方正仿宋_GBK" w:cs="方正仿宋_GBK"/>
          <w:b/>
          <w:bCs/>
          <w:i w:val="0"/>
          <w:iCs w:val="0"/>
          <w:caps w:val="0"/>
          <w:color w:val="auto"/>
          <w:spacing w:val="0"/>
          <w:sz w:val="32"/>
          <w:szCs w:val="32"/>
          <w:shd w:val="clear" w:color="auto" w:fill="auto"/>
          <w:lang w:val="en-US" w:eastAsia="zh-CN" w:bidi="ar"/>
        </w:rPr>
        <w:t xml:space="preserve"> </w:t>
      </w:r>
      <w:r>
        <w:rPr>
          <w:rFonts w:hint="eastAsia" w:ascii="方正仿宋_GBK" w:hAnsi="方正仿宋_GBK" w:eastAsia="方正仿宋_GBK" w:cs="方正仿宋_GBK"/>
          <w:sz w:val="32"/>
          <w:szCs w:val="32"/>
          <w:lang w:val="en-US" w:eastAsia="en-US"/>
        </w:rPr>
        <w:t>本</w:t>
      </w:r>
      <w:r>
        <w:rPr>
          <w:rFonts w:hint="eastAsia" w:ascii="方正仿宋_GBK" w:hAnsi="方正仿宋_GBK" w:eastAsia="方正仿宋_GBK" w:cs="方正仿宋_GBK"/>
          <w:sz w:val="32"/>
          <w:szCs w:val="32"/>
          <w:lang w:val="en-US" w:eastAsia="zh-CN"/>
        </w:rPr>
        <w:t>指南</w:t>
      </w:r>
      <w:r>
        <w:rPr>
          <w:rFonts w:hint="eastAsia" w:ascii="方正仿宋_GBK" w:hAnsi="方正仿宋_GBK" w:eastAsia="方正仿宋_GBK" w:cs="方正仿宋_GBK"/>
          <w:sz w:val="32"/>
          <w:szCs w:val="32"/>
          <w:lang w:val="en-US" w:eastAsia="en-US"/>
        </w:rPr>
        <w:t>自发布之日起</w:t>
      </w:r>
      <w:r>
        <w:rPr>
          <w:rFonts w:hint="eastAsia" w:ascii="方正仿宋_GBK" w:hAnsi="方正仿宋_GBK" w:eastAsia="方正仿宋_GBK" w:cs="方正仿宋_GBK"/>
          <w:sz w:val="32"/>
          <w:szCs w:val="32"/>
          <w:lang w:val="en-US" w:eastAsia="zh-CN"/>
        </w:rPr>
        <w:t>施行</w:t>
      </w:r>
      <w:r>
        <w:rPr>
          <w:rFonts w:hint="eastAsia" w:ascii="方正仿宋_GBK" w:hAnsi="方正仿宋_GBK" w:eastAsia="方正仿宋_GBK" w:cs="方正仿宋_GBK"/>
          <w:sz w:val="32"/>
          <w:szCs w:val="32"/>
          <w:lang w:val="en-US" w:eastAsia="en-US"/>
        </w:rPr>
        <w:t>。</w:t>
      </w:r>
      <w:r>
        <w:rPr>
          <w:rFonts w:hint="eastAsia" w:ascii="方正仿宋_GBK" w:hAnsi="方正仿宋_GBK" w:eastAsia="方正仿宋_GBK" w:cs="方正仿宋_GBK"/>
          <w:sz w:val="32"/>
          <w:szCs w:val="32"/>
          <w:lang w:val="en-US" w:eastAsia="zh-CN"/>
        </w:rPr>
        <w:t>《湘潭市知识产权保护中心无效案件多模式口头审理工作管理办法》（潭知保发〔2025〕15号）同时废止。</w:t>
      </w:r>
    </w:p>
    <w:p w14:paraId="6E0D33BB">
      <w:pPr>
        <w:pStyle w:val="11"/>
        <w:ind w:left="0" w:leftChars="0" w:firstLine="0" w:firstLineChars="0"/>
        <w:rPr>
          <w:rFonts w:hint="eastAsia"/>
          <w:lang w:val="en-US" w:eastAsia="en-US"/>
        </w:rPr>
      </w:pPr>
    </w:p>
    <w:p w14:paraId="69675814">
      <w:pPr>
        <w:pStyle w:val="11"/>
        <w:ind w:left="0" w:leftChars="0" w:firstLine="0" w:firstLineChars="0"/>
        <w:rPr>
          <w:rFonts w:hint="eastAsia"/>
          <w:lang w:val="en-US" w:eastAsia="en-US"/>
        </w:rPr>
      </w:pPr>
    </w:p>
    <w:p w14:paraId="479E82EB">
      <w:pPr>
        <w:pStyle w:val="11"/>
        <w:ind w:left="0" w:leftChars="0" w:firstLine="0" w:firstLineChars="0"/>
        <w:rPr>
          <w:rFonts w:hint="eastAsia" w:ascii="方正仿宋_GBK" w:hAnsi="方正仿宋_GBK" w:eastAsia="方正仿宋_GBK" w:cs="方正仿宋_GBK"/>
          <w:sz w:val="32"/>
          <w:szCs w:val="32"/>
          <w:lang w:val="en-US" w:eastAsia="en-US"/>
        </w:rPr>
      </w:pPr>
    </w:p>
    <w:p w14:paraId="3629353F">
      <w:pPr>
        <w:pStyle w:val="11"/>
        <w:ind w:left="0" w:leftChars="0" w:firstLine="0" w:firstLineChars="0"/>
        <w:rPr>
          <w:rFonts w:hint="eastAsia" w:ascii="方正仿宋_GBK" w:hAnsi="方正仿宋_GBK" w:eastAsia="方正仿宋_GBK" w:cs="方正仿宋_GBK"/>
          <w:sz w:val="32"/>
          <w:szCs w:val="32"/>
          <w:lang w:val="en-US" w:eastAsia="en-US"/>
        </w:rPr>
      </w:pPr>
    </w:p>
    <w:p w14:paraId="173E1C0B">
      <w:pPr>
        <w:pStyle w:val="11"/>
        <w:ind w:left="0" w:leftChars="0" w:firstLine="0" w:firstLineChars="0"/>
        <w:rPr>
          <w:rFonts w:hint="eastAsia" w:ascii="方正仿宋_GBK" w:hAnsi="方正仿宋_GBK" w:eastAsia="方正仿宋_GBK" w:cs="方正仿宋_GBK"/>
          <w:sz w:val="32"/>
          <w:szCs w:val="32"/>
          <w:lang w:val="en-US" w:eastAsia="en-US"/>
        </w:rPr>
      </w:pPr>
    </w:p>
    <w:p w14:paraId="461386AE">
      <w:pPr>
        <w:pStyle w:val="11"/>
        <w:ind w:left="0" w:leftChars="0" w:firstLine="0" w:firstLineChars="0"/>
        <w:rPr>
          <w:rFonts w:hint="eastAsia" w:ascii="方正仿宋_GBK" w:hAnsi="方正仿宋_GBK" w:eastAsia="方正仿宋_GBK" w:cs="方正仿宋_GBK"/>
          <w:sz w:val="32"/>
          <w:szCs w:val="32"/>
          <w:lang w:val="en-US" w:eastAsia="en-US"/>
        </w:rPr>
      </w:pPr>
    </w:p>
    <w:p w14:paraId="3C6207FA">
      <w:pPr>
        <w:pStyle w:val="11"/>
        <w:ind w:left="0" w:leftChars="0" w:firstLine="0" w:firstLineChars="0"/>
        <w:rPr>
          <w:rFonts w:hint="eastAsia" w:ascii="方正仿宋_GBK" w:hAnsi="方正仿宋_GBK" w:eastAsia="方正仿宋_GBK" w:cs="方正仿宋_GBK"/>
          <w:sz w:val="32"/>
          <w:szCs w:val="32"/>
          <w:lang w:val="en-US" w:eastAsia="en-US"/>
        </w:rPr>
      </w:pPr>
    </w:p>
    <w:p w14:paraId="60FFA2A3">
      <w:pPr>
        <w:pStyle w:val="11"/>
        <w:ind w:left="0" w:leftChars="0" w:firstLine="0" w:firstLineChars="0"/>
        <w:rPr>
          <w:rFonts w:hint="eastAsia" w:ascii="方正仿宋_GBK" w:hAnsi="方正仿宋_GBK" w:eastAsia="方正仿宋_GBK" w:cs="方正仿宋_GBK"/>
          <w:sz w:val="32"/>
          <w:szCs w:val="32"/>
          <w:lang w:val="en-US" w:eastAsia="en-US"/>
        </w:rPr>
      </w:pPr>
    </w:p>
    <w:p w14:paraId="22F5F343">
      <w:pPr>
        <w:pStyle w:val="11"/>
        <w:numPr>
          <w:ilvl w:val="0"/>
          <w:numId w:val="0"/>
        </w:numPr>
        <w:ind w:leftChars="0"/>
        <w:jc w:val="both"/>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附件1</w:t>
      </w:r>
    </w:p>
    <w:p w14:paraId="2E9B99B2">
      <w:pPr>
        <w:spacing w:line="576" w:lineRule="exact"/>
        <w:jc w:val="center"/>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en-US"/>
        </w:rPr>
        <w:t>湘潭市知识产权保护中心</w:t>
      </w:r>
    </w:p>
    <w:p w14:paraId="09D55DFF">
      <w:pPr>
        <w:spacing w:line="576" w:lineRule="exact"/>
        <w:jc w:val="center"/>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en-US"/>
        </w:rPr>
        <w:t>专利复审无效案件</w:t>
      </w:r>
      <w:r>
        <w:rPr>
          <w:rFonts w:hint="eastAsia" w:ascii="方正小标宋简体" w:hAnsi="方正小标宋简体" w:eastAsia="方正小标宋简体" w:cs="方正小标宋简体"/>
          <w:sz w:val="44"/>
          <w:szCs w:val="44"/>
          <w:lang w:val="en-US" w:eastAsia="zh-CN"/>
        </w:rPr>
        <w:t>多模式口头审理</w:t>
      </w:r>
      <w:r>
        <w:rPr>
          <w:rFonts w:hint="eastAsia" w:ascii="方正小标宋简体" w:hAnsi="方正小标宋简体" w:eastAsia="方正小标宋简体" w:cs="方正小标宋简体"/>
          <w:sz w:val="44"/>
          <w:szCs w:val="44"/>
          <w:lang w:val="en-US" w:eastAsia="en-US"/>
        </w:rPr>
        <w:t>申请表</w:t>
      </w:r>
    </w:p>
    <w:p w14:paraId="269117D4">
      <w:pPr>
        <w:spacing w:line="576" w:lineRule="exact"/>
        <w:jc w:val="center"/>
        <w:rPr>
          <w:rFonts w:hint="eastAsia" w:ascii="方正小标宋简体" w:hAnsi="方正小标宋简体" w:eastAsia="方正小标宋简体" w:cs="方正小标宋简体"/>
          <w:sz w:val="44"/>
          <w:szCs w:val="44"/>
          <w:lang w:val="en-US" w:eastAsia="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2"/>
        <w:gridCol w:w="6550"/>
      </w:tblGrid>
      <w:tr w14:paraId="2016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2" w:type="dxa"/>
            <w:noWrap w:val="0"/>
            <w:vAlign w:val="center"/>
          </w:tcPr>
          <w:p w14:paraId="0133A946">
            <w:pPr>
              <w:pStyle w:val="11"/>
              <w:numPr>
                <w:ilvl w:val="0"/>
                <w:numId w:val="0"/>
              </w:numPr>
              <w:jc w:val="center"/>
              <w:rPr>
                <w:rFonts w:hint="eastAsia" w:ascii="宋体" w:hAnsi="宋体" w:cs="宋体"/>
                <w:b/>
                <w:bCs/>
                <w:snapToGrid w:val="0"/>
                <w:color w:val="000000"/>
                <w:spacing w:val="7"/>
                <w:kern w:val="0"/>
                <w:sz w:val="22"/>
                <w:szCs w:val="22"/>
                <w:lang w:val="en-US" w:eastAsia="zh-CN" w:bidi="ar-SA"/>
              </w:rPr>
            </w:pPr>
          </w:p>
          <w:p w14:paraId="73054980">
            <w:pPr>
              <w:pStyle w:val="11"/>
              <w:numPr>
                <w:ilvl w:val="0"/>
                <w:numId w:val="0"/>
              </w:numPr>
              <w:jc w:val="center"/>
              <w:rPr>
                <w:rFonts w:hint="eastAsia" w:ascii="宋体" w:hAnsi="宋体" w:cs="宋体"/>
                <w:b/>
                <w:bCs/>
                <w:snapToGrid w:val="0"/>
                <w:color w:val="000000"/>
                <w:spacing w:val="7"/>
                <w:kern w:val="0"/>
                <w:sz w:val="22"/>
                <w:szCs w:val="22"/>
                <w:lang w:val="en-US" w:eastAsia="zh-CN" w:bidi="ar-SA"/>
              </w:rPr>
            </w:pPr>
            <w:r>
              <w:rPr>
                <w:rFonts w:hint="eastAsia" w:ascii="宋体" w:hAnsi="宋体" w:cs="宋体"/>
                <w:b/>
                <w:bCs/>
                <w:snapToGrid w:val="0"/>
                <w:color w:val="000000"/>
                <w:spacing w:val="7"/>
                <w:kern w:val="0"/>
                <w:sz w:val="22"/>
                <w:szCs w:val="22"/>
                <w:lang w:val="en-US" w:eastAsia="zh-CN" w:bidi="ar-SA"/>
              </w:rPr>
              <w:t>申请人</w:t>
            </w:r>
          </w:p>
          <w:p w14:paraId="036EC671">
            <w:pPr>
              <w:pStyle w:val="11"/>
              <w:numPr>
                <w:ilvl w:val="0"/>
                <w:numId w:val="0"/>
              </w:numPr>
              <w:jc w:val="center"/>
              <w:rPr>
                <w:rFonts w:hint="eastAsia" w:ascii="宋体" w:hAnsi="宋体" w:cs="宋体"/>
                <w:b/>
                <w:bCs/>
                <w:snapToGrid w:val="0"/>
                <w:color w:val="000000"/>
                <w:spacing w:val="7"/>
                <w:kern w:val="0"/>
                <w:sz w:val="22"/>
                <w:szCs w:val="22"/>
                <w:lang w:val="en-US" w:eastAsia="zh-CN" w:bidi="ar-SA"/>
              </w:rPr>
            </w:pPr>
            <w:r>
              <w:rPr>
                <w:rFonts w:hint="eastAsia" w:ascii="宋体" w:hAnsi="宋体" w:cs="宋体"/>
                <w:b/>
                <w:bCs/>
                <w:snapToGrid w:val="0"/>
                <w:color w:val="000000"/>
                <w:spacing w:val="7"/>
                <w:kern w:val="0"/>
                <w:sz w:val="22"/>
                <w:szCs w:val="22"/>
                <w:lang w:val="en-US" w:eastAsia="zh-CN" w:bidi="ar-SA"/>
              </w:rPr>
              <w:t>（签章）</w:t>
            </w:r>
          </w:p>
        </w:tc>
        <w:tc>
          <w:tcPr>
            <w:tcW w:w="6550" w:type="dxa"/>
            <w:noWrap w:val="0"/>
            <w:vAlign w:val="center"/>
          </w:tcPr>
          <w:p w14:paraId="6641530D">
            <w:pPr>
              <w:pStyle w:val="11"/>
              <w:numPr>
                <w:ilvl w:val="0"/>
                <w:numId w:val="0"/>
              </w:numPr>
              <w:jc w:val="center"/>
              <w:rPr>
                <w:rFonts w:hint="eastAsia" w:ascii="宋体" w:hAnsi="宋体" w:eastAsia="宋体" w:cs="宋体"/>
                <w:snapToGrid w:val="0"/>
                <w:color w:val="000000"/>
                <w:spacing w:val="7"/>
                <w:kern w:val="0"/>
                <w:sz w:val="22"/>
                <w:szCs w:val="22"/>
                <w:lang w:val="en-US" w:eastAsia="zh-CN" w:bidi="ar-SA"/>
              </w:rPr>
            </w:pPr>
          </w:p>
        </w:tc>
      </w:tr>
      <w:tr w14:paraId="496F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972" w:type="dxa"/>
            <w:noWrap w:val="0"/>
            <w:vAlign w:val="center"/>
          </w:tcPr>
          <w:p w14:paraId="7DB66FDE">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申请人联系方式</w:t>
            </w:r>
          </w:p>
        </w:tc>
        <w:tc>
          <w:tcPr>
            <w:tcW w:w="6550" w:type="dxa"/>
            <w:noWrap w:val="0"/>
            <w:vAlign w:val="center"/>
          </w:tcPr>
          <w:p w14:paraId="56FE79C9">
            <w:pPr>
              <w:pStyle w:val="11"/>
              <w:numPr>
                <w:ilvl w:val="0"/>
                <w:numId w:val="0"/>
              </w:numPr>
              <w:jc w:val="center"/>
              <w:rPr>
                <w:rFonts w:hint="default" w:ascii="宋体" w:hAnsi="宋体" w:eastAsia="宋体" w:cs="宋体"/>
                <w:snapToGrid w:val="0"/>
                <w:color w:val="000000"/>
                <w:spacing w:val="7"/>
                <w:kern w:val="0"/>
                <w:sz w:val="22"/>
                <w:szCs w:val="22"/>
                <w:lang w:val="en-US" w:eastAsia="zh-CN" w:bidi="ar-SA"/>
              </w:rPr>
            </w:pPr>
          </w:p>
        </w:tc>
      </w:tr>
      <w:tr w14:paraId="281B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972" w:type="dxa"/>
            <w:noWrap w:val="0"/>
            <w:vAlign w:val="center"/>
          </w:tcPr>
          <w:p w14:paraId="53C725D1">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申请人类型</w:t>
            </w:r>
          </w:p>
        </w:tc>
        <w:tc>
          <w:tcPr>
            <w:tcW w:w="6550" w:type="dxa"/>
            <w:noWrap w:val="0"/>
            <w:vAlign w:val="center"/>
          </w:tcPr>
          <w:p w14:paraId="64E7AB74">
            <w:pPr>
              <w:pStyle w:val="11"/>
              <w:numPr>
                <w:ilvl w:val="0"/>
                <w:numId w:val="0"/>
              </w:numPr>
              <w:ind w:firstLine="0" w:firstLineChars="0"/>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snapToGrid w:val="0"/>
                <w:color w:val="000000"/>
                <w:spacing w:val="7"/>
                <w:kern w:val="0"/>
                <w:sz w:val="22"/>
                <w:szCs w:val="22"/>
                <w:lang w:val="en-US" w:eastAsia="zh-CN" w:bidi="ar-SA"/>
              </w:rPr>
              <w:t>专利权人   □</w:t>
            </w:r>
            <w:r>
              <w:rPr>
                <w:rFonts w:hint="eastAsia"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snapToGrid w:val="0"/>
                <w:color w:val="000000"/>
                <w:spacing w:val="7"/>
                <w:kern w:val="0"/>
                <w:sz w:val="22"/>
                <w:szCs w:val="22"/>
                <w:lang w:val="en-US" w:eastAsia="zh-CN" w:bidi="ar-SA"/>
              </w:rPr>
              <w:t>无效宣告请求人</w:t>
            </w:r>
          </w:p>
        </w:tc>
      </w:tr>
      <w:tr w14:paraId="3B44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1972" w:type="dxa"/>
            <w:noWrap w:val="0"/>
            <w:vAlign w:val="center"/>
          </w:tcPr>
          <w:p w14:paraId="6FD88C54">
            <w:pPr>
              <w:pStyle w:val="11"/>
              <w:numPr>
                <w:ilvl w:val="0"/>
                <w:numId w:val="0"/>
              </w:numPr>
              <w:jc w:val="center"/>
              <w:rPr>
                <w:rFonts w:hint="eastAsia" w:ascii="宋体" w:hAnsi="宋体" w:eastAsia="宋体" w:cs="宋体"/>
                <w:b/>
                <w:bCs/>
                <w:snapToGrid w:val="0"/>
                <w:color w:val="000000"/>
                <w:spacing w:val="7"/>
                <w:kern w:val="0"/>
                <w:sz w:val="22"/>
                <w:szCs w:val="22"/>
                <w:lang w:val="en-US" w:eastAsia="zh-CN" w:bidi="ar-SA"/>
              </w:rPr>
            </w:pPr>
            <w:r>
              <w:rPr>
                <w:rFonts w:hint="eastAsia" w:ascii="宋体" w:hAnsi="宋体" w:cs="宋体"/>
                <w:b/>
                <w:bCs/>
                <w:snapToGrid w:val="0"/>
                <w:color w:val="000000"/>
                <w:spacing w:val="7"/>
                <w:kern w:val="0"/>
                <w:sz w:val="22"/>
                <w:szCs w:val="22"/>
              </w:rPr>
              <w:t>案件基本信息</w:t>
            </w:r>
          </w:p>
        </w:tc>
        <w:tc>
          <w:tcPr>
            <w:tcW w:w="6550" w:type="dxa"/>
            <w:noWrap w:val="0"/>
            <w:vAlign w:val="center"/>
          </w:tcPr>
          <w:p w14:paraId="7BF68F95">
            <w:pPr>
              <w:pStyle w:val="11"/>
              <w:numPr>
                <w:ilvl w:val="0"/>
                <w:numId w:val="0"/>
              </w:numPr>
              <w:jc w:val="both"/>
              <w:rPr>
                <w:rFonts w:hint="eastAsia" w:ascii="宋体" w:hAnsi="宋体" w:cs="宋体"/>
                <w:snapToGrid w:val="0"/>
                <w:color w:val="000000"/>
                <w:spacing w:val="7"/>
                <w:kern w:val="0"/>
                <w:sz w:val="22"/>
                <w:szCs w:val="22"/>
                <w:lang w:val="en-US" w:eastAsia="zh-CN" w:bidi="ar-SA"/>
              </w:rPr>
            </w:pPr>
            <w:r>
              <w:rPr>
                <w:rFonts w:hint="eastAsia" w:ascii="宋体" w:hAnsi="宋体" w:cs="宋体"/>
                <w:snapToGrid w:val="0"/>
                <w:color w:val="000000"/>
                <w:spacing w:val="7"/>
                <w:kern w:val="0"/>
                <w:sz w:val="22"/>
                <w:szCs w:val="22"/>
                <w:lang w:val="en-US" w:eastAsia="zh-CN" w:bidi="ar-SA"/>
              </w:rPr>
              <w:t>专利号：</w:t>
            </w:r>
          </w:p>
          <w:p w14:paraId="6984515D">
            <w:pPr>
              <w:pStyle w:val="11"/>
              <w:numPr>
                <w:ilvl w:val="0"/>
                <w:numId w:val="0"/>
              </w:numPr>
              <w:jc w:val="both"/>
              <w:rPr>
                <w:rFonts w:hint="eastAsia" w:ascii="宋体" w:hAnsi="宋体" w:cs="宋体"/>
                <w:snapToGrid w:val="0"/>
                <w:color w:val="000000"/>
                <w:spacing w:val="7"/>
                <w:kern w:val="0"/>
                <w:sz w:val="22"/>
                <w:szCs w:val="22"/>
                <w:lang w:val="en-US" w:eastAsia="zh-CN" w:bidi="ar-SA"/>
              </w:rPr>
            </w:pPr>
            <w:r>
              <w:rPr>
                <w:rFonts w:hint="eastAsia" w:ascii="宋体" w:hAnsi="宋体" w:cs="宋体"/>
                <w:snapToGrid w:val="0"/>
                <w:color w:val="000000"/>
                <w:spacing w:val="7"/>
                <w:kern w:val="0"/>
                <w:sz w:val="22"/>
                <w:szCs w:val="22"/>
                <w:lang w:val="en-US" w:eastAsia="zh-CN" w:bidi="ar-SA"/>
              </w:rPr>
              <w:t>专利名称：</w:t>
            </w:r>
          </w:p>
          <w:p w14:paraId="5B68B1DB">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cs="宋体"/>
                <w:snapToGrid w:val="0"/>
                <w:color w:val="000000"/>
                <w:spacing w:val="7"/>
                <w:kern w:val="0"/>
                <w:sz w:val="22"/>
                <w:szCs w:val="22"/>
                <w:lang w:val="en-US" w:eastAsia="zh-CN" w:bidi="ar-SA"/>
              </w:rPr>
              <w:t>专利权人：</w:t>
            </w:r>
          </w:p>
        </w:tc>
      </w:tr>
      <w:tr w14:paraId="578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972" w:type="dxa"/>
            <w:noWrap w:val="0"/>
            <w:vAlign w:val="center"/>
          </w:tcPr>
          <w:p w14:paraId="456493FC">
            <w:pPr>
              <w:pStyle w:val="11"/>
              <w:numPr>
                <w:ilvl w:val="0"/>
                <w:numId w:val="0"/>
              </w:numPr>
              <w:jc w:val="center"/>
              <w:rPr>
                <w:rFonts w:hint="eastAsia" w:ascii="宋体" w:hAnsi="宋体" w:cs="宋体"/>
                <w:b/>
                <w:bCs/>
                <w:snapToGrid w:val="0"/>
                <w:color w:val="000000"/>
                <w:spacing w:val="7"/>
                <w:kern w:val="0"/>
                <w:sz w:val="22"/>
                <w:szCs w:val="22"/>
                <w:lang w:eastAsia="en-US"/>
              </w:rPr>
            </w:pPr>
            <w:r>
              <w:rPr>
                <w:rFonts w:hint="eastAsia" w:ascii="宋体" w:hAnsi="宋体" w:cs="宋体"/>
                <w:b/>
                <w:bCs/>
                <w:snapToGrid w:val="0"/>
                <w:color w:val="000000"/>
                <w:spacing w:val="7"/>
                <w:kern w:val="0"/>
                <w:sz w:val="22"/>
                <w:szCs w:val="22"/>
                <w:lang w:eastAsia="en-US"/>
              </w:rPr>
              <w:t>专利侵权纠纷</w:t>
            </w:r>
          </w:p>
          <w:p w14:paraId="63F357FE">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案件号</w:t>
            </w:r>
          </w:p>
        </w:tc>
        <w:tc>
          <w:tcPr>
            <w:tcW w:w="6550" w:type="dxa"/>
            <w:noWrap w:val="0"/>
            <w:vAlign w:val="top"/>
          </w:tcPr>
          <w:p w14:paraId="5E9AEB5D">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p>
        </w:tc>
      </w:tr>
      <w:tr w14:paraId="32E7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972" w:type="dxa"/>
            <w:noWrap w:val="0"/>
            <w:vAlign w:val="center"/>
          </w:tcPr>
          <w:p w14:paraId="6F4DE836">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zh-CN"/>
              </w:rPr>
              <w:t>被</w:t>
            </w:r>
            <w:r>
              <w:rPr>
                <w:rFonts w:hint="eastAsia" w:ascii="宋体" w:hAnsi="宋体" w:cs="宋体"/>
                <w:b/>
                <w:bCs/>
                <w:snapToGrid w:val="0"/>
                <w:color w:val="000000"/>
                <w:spacing w:val="7"/>
                <w:kern w:val="0"/>
                <w:sz w:val="22"/>
                <w:szCs w:val="22"/>
                <w:lang w:eastAsia="en-US"/>
              </w:rPr>
              <w:t>控侵权人</w:t>
            </w:r>
          </w:p>
        </w:tc>
        <w:tc>
          <w:tcPr>
            <w:tcW w:w="6550" w:type="dxa"/>
            <w:noWrap w:val="0"/>
            <w:vAlign w:val="top"/>
          </w:tcPr>
          <w:p w14:paraId="357232FD">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p>
        </w:tc>
      </w:tr>
      <w:tr w14:paraId="1F40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972" w:type="dxa"/>
            <w:noWrap w:val="0"/>
            <w:vAlign w:val="center"/>
          </w:tcPr>
          <w:p w14:paraId="4C01D41D">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专利侵权纠纷解决状态</w:t>
            </w:r>
          </w:p>
        </w:tc>
        <w:tc>
          <w:tcPr>
            <w:tcW w:w="6550" w:type="dxa"/>
            <w:noWrap w:val="0"/>
            <w:vAlign w:val="center"/>
          </w:tcPr>
          <w:p w14:paraId="64776764">
            <w:pPr>
              <w:pStyle w:val="11"/>
              <w:numPr>
                <w:ilvl w:val="0"/>
                <w:numId w:val="0"/>
              </w:numPr>
              <w:jc w:val="both"/>
              <w:rPr>
                <w:rFonts w:hint="eastAsia" w:ascii="宋体" w:hAnsi="宋体" w:eastAsia="宋体" w:cs="宋体"/>
                <w:snapToGrid w:val="0"/>
                <w:color w:val="000000"/>
                <w:spacing w:val="7"/>
                <w:kern w:val="0"/>
                <w:sz w:val="22"/>
                <w:szCs w:val="22"/>
                <w:lang w:val="en-US" w:eastAsia="zh-CN" w:bidi="ar-SA"/>
              </w:rPr>
            </w:pPr>
            <w:r>
              <w:rPr>
                <w:rFonts w:hint="eastAsia"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snapToGrid w:val="0"/>
                <w:color w:val="000000"/>
                <w:spacing w:val="7"/>
                <w:kern w:val="0"/>
                <w:sz w:val="22"/>
                <w:szCs w:val="22"/>
                <w:lang w:val="en-US" w:eastAsia="zh-CN" w:bidi="ar-SA"/>
              </w:rPr>
              <w:t>已提出行政裁决</w:t>
            </w:r>
          </w:p>
          <w:p w14:paraId="14EC5B50">
            <w:pPr>
              <w:pStyle w:val="11"/>
              <w:numPr>
                <w:ilvl w:val="0"/>
                <w:numId w:val="0"/>
              </w:numPr>
              <w:jc w:val="both"/>
              <w:rPr>
                <w:rFonts w:hint="eastAsia" w:ascii="宋体" w:hAnsi="宋体" w:eastAsia="宋体" w:cs="宋体"/>
                <w:snapToGrid w:val="0"/>
                <w:color w:val="000000"/>
                <w:spacing w:val="7"/>
                <w:kern w:val="0"/>
                <w:sz w:val="22"/>
                <w:szCs w:val="22"/>
                <w:lang w:val="en-US" w:eastAsia="zh-CN" w:bidi="ar-SA"/>
              </w:rPr>
            </w:pPr>
            <w:r>
              <w:rPr>
                <w:rFonts w:hint="eastAsia"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snapToGrid w:val="0"/>
                <w:color w:val="000000"/>
                <w:spacing w:val="7"/>
                <w:kern w:val="0"/>
                <w:sz w:val="22"/>
                <w:szCs w:val="22"/>
                <w:lang w:val="en-US" w:eastAsia="zh-CN" w:bidi="ar-SA"/>
              </w:rPr>
              <w:t>已提出司法诉讼</w:t>
            </w:r>
          </w:p>
          <w:p w14:paraId="6E2A460D">
            <w:pPr>
              <w:pStyle w:val="11"/>
              <w:numPr>
                <w:ilvl w:val="0"/>
                <w:numId w:val="0"/>
              </w:numPr>
              <w:wordWrap/>
              <w:jc w:val="both"/>
              <w:rPr>
                <w:rFonts w:hint="default" w:ascii="宋体" w:hAnsi="宋体" w:eastAsia="宋体" w:cs="宋体"/>
                <w:snapToGrid w:val="0"/>
                <w:color w:val="000000"/>
                <w:spacing w:val="7"/>
                <w:kern w:val="0"/>
                <w:sz w:val="22"/>
                <w:szCs w:val="22"/>
                <w:lang w:val="en-US" w:eastAsia="zh-CN" w:bidi="ar-SA"/>
              </w:rPr>
            </w:pPr>
            <w:r>
              <w:rPr>
                <w:rFonts w:hint="eastAsia"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snapToGrid w:val="0"/>
                <w:color w:val="000000"/>
                <w:spacing w:val="7"/>
                <w:kern w:val="0"/>
                <w:sz w:val="22"/>
                <w:szCs w:val="22"/>
                <w:lang w:val="en-US" w:eastAsia="zh-CN" w:bidi="ar-SA"/>
              </w:rPr>
              <w:t>未提出行政裁决或司法诉讼</w:t>
            </w:r>
          </w:p>
        </w:tc>
      </w:tr>
      <w:tr w14:paraId="022A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972" w:type="dxa"/>
            <w:noWrap w:val="0"/>
            <w:vAlign w:val="center"/>
          </w:tcPr>
          <w:p w14:paraId="47B186B7">
            <w:pPr>
              <w:pStyle w:val="11"/>
              <w:numPr>
                <w:ilvl w:val="0"/>
                <w:numId w:val="0"/>
              </w:numPr>
              <w:jc w:val="center"/>
              <w:rPr>
                <w:rFonts w:hint="eastAsia" w:ascii="宋体" w:hAnsi="宋体" w:cs="宋体"/>
                <w:b/>
                <w:bCs/>
                <w:snapToGrid w:val="0"/>
                <w:color w:val="000000"/>
                <w:spacing w:val="7"/>
                <w:kern w:val="0"/>
                <w:sz w:val="22"/>
                <w:szCs w:val="22"/>
                <w:lang w:eastAsia="en-US"/>
              </w:rPr>
            </w:pPr>
            <w:r>
              <w:rPr>
                <w:rFonts w:hint="eastAsia" w:ascii="宋体" w:hAnsi="宋体" w:cs="宋体"/>
                <w:b/>
                <w:bCs/>
                <w:snapToGrid w:val="0"/>
                <w:color w:val="000000"/>
                <w:spacing w:val="7"/>
                <w:kern w:val="0"/>
                <w:sz w:val="22"/>
                <w:szCs w:val="22"/>
                <w:lang w:eastAsia="en-US"/>
              </w:rPr>
              <w:t>专利侵权纠纷</w:t>
            </w:r>
          </w:p>
          <w:p w14:paraId="32E08B5A">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审理单位</w:t>
            </w:r>
          </w:p>
        </w:tc>
        <w:tc>
          <w:tcPr>
            <w:tcW w:w="6550" w:type="dxa"/>
            <w:noWrap w:val="0"/>
            <w:vAlign w:val="top"/>
          </w:tcPr>
          <w:p w14:paraId="0AAEB309">
            <w:pPr>
              <w:pStyle w:val="11"/>
              <w:numPr>
                <w:ilvl w:val="0"/>
                <w:numId w:val="0"/>
              </w:numPr>
              <w:wordWrap w:val="0"/>
              <w:jc w:val="right"/>
              <w:rPr>
                <w:rFonts w:hint="eastAsia" w:ascii="宋体" w:hAnsi="宋体" w:eastAsia="宋体" w:cs="宋体"/>
                <w:snapToGrid w:val="0"/>
                <w:color w:val="000000"/>
                <w:spacing w:val="7"/>
                <w:kern w:val="0"/>
                <w:sz w:val="22"/>
                <w:szCs w:val="22"/>
                <w:lang w:val="en-US" w:eastAsia="en-US" w:bidi="ar-SA"/>
              </w:rPr>
            </w:pPr>
          </w:p>
        </w:tc>
      </w:tr>
      <w:tr w14:paraId="31D3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972" w:type="dxa"/>
            <w:noWrap w:val="0"/>
            <w:vAlign w:val="center"/>
          </w:tcPr>
          <w:p w14:paraId="089DCF7A">
            <w:pPr>
              <w:pStyle w:val="11"/>
              <w:numPr>
                <w:ilvl w:val="0"/>
                <w:numId w:val="0"/>
              </w:numPr>
              <w:jc w:val="both"/>
              <w:rPr>
                <w:rFonts w:hint="eastAsia" w:ascii="宋体" w:hAnsi="宋体" w:cs="宋体"/>
                <w:b/>
                <w:bCs/>
                <w:snapToGrid w:val="0"/>
                <w:color w:val="000000"/>
                <w:spacing w:val="7"/>
                <w:kern w:val="0"/>
                <w:sz w:val="22"/>
                <w:szCs w:val="22"/>
                <w:lang w:eastAsia="en-US"/>
              </w:rPr>
            </w:pPr>
            <w:r>
              <w:rPr>
                <w:rFonts w:hint="eastAsia" w:ascii="宋体" w:hAnsi="宋体" w:cs="宋体"/>
                <w:b/>
                <w:bCs/>
                <w:snapToGrid w:val="0"/>
                <w:color w:val="000000"/>
                <w:spacing w:val="7"/>
                <w:kern w:val="0"/>
                <w:sz w:val="22"/>
                <w:szCs w:val="22"/>
                <w:lang w:eastAsia="en-US"/>
              </w:rPr>
              <w:t>申请审理类型</w:t>
            </w:r>
          </w:p>
        </w:tc>
        <w:tc>
          <w:tcPr>
            <w:tcW w:w="6550" w:type="dxa"/>
            <w:noWrap w:val="0"/>
            <w:vAlign w:val="center"/>
          </w:tcPr>
          <w:p w14:paraId="4B2F01FB">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 巡回审理</w:t>
            </w:r>
          </w:p>
          <w:p w14:paraId="63B5FB69">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 远程审理</w:t>
            </w:r>
          </w:p>
          <w:p w14:paraId="4E9CBC8F">
            <w:pPr>
              <w:pStyle w:val="11"/>
              <w:numPr>
                <w:ilvl w:val="0"/>
                <w:numId w:val="0"/>
              </w:numPr>
              <w:wordWrap/>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 联合审理</w:t>
            </w:r>
          </w:p>
        </w:tc>
      </w:tr>
      <w:tr w14:paraId="08C3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trPr>
        <w:tc>
          <w:tcPr>
            <w:tcW w:w="1972" w:type="dxa"/>
            <w:noWrap w:val="0"/>
            <w:vAlign w:val="center"/>
          </w:tcPr>
          <w:p w14:paraId="372192BC">
            <w:pPr>
              <w:pStyle w:val="11"/>
              <w:numPr>
                <w:ilvl w:val="0"/>
                <w:numId w:val="0"/>
              </w:numPr>
              <w:jc w:val="center"/>
              <w:rPr>
                <w:rFonts w:hint="eastAsia" w:ascii="宋体" w:hAnsi="宋体" w:eastAsia="宋体" w:cs="宋体"/>
                <w:b/>
                <w:bCs/>
                <w:snapToGrid w:val="0"/>
                <w:color w:val="000000"/>
                <w:spacing w:val="7"/>
                <w:kern w:val="0"/>
                <w:sz w:val="22"/>
                <w:szCs w:val="22"/>
                <w:lang w:eastAsia="zh-CN"/>
              </w:rPr>
            </w:pPr>
            <w:r>
              <w:rPr>
                <w:rFonts w:hint="eastAsia" w:ascii="宋体" w:hAnsi="宋体" w:cs="宋体"/>
                <w:b/>
                <w:bCs/>
                <w:snapToGrid w:val="0"/>
                <w:color w:val="000000"/>
                <w:spacing w:val="7"/>
                <w:kern w:val="0"/>
                <w:sz w:val="22"/>
                <w:szCs w:val="22"/>
                <w:lang w:eastAsia="en-US"/>
              </w:rPr>
              <w:t>申请</w:t>
            </w:r>
            <w:r>
              <w:rPr>
                <w:rFonts w:hint="eastAsia" w:ascii="宋体" w:hAnsi="宋体" w:cs="宋体"/>
                <w:b/>
                <w:bCs/>
                <w:snapToGrid w:val="0"/>
                <w:color w:val="000000"/>
                <w:spacing w:val="7"/>
                <w:kern w:val="0"/>
                <w:sz w:val="22"/>
                <w:szCs w:val="22"/>
                <w:lang w:eastAsia="zh-CN"/>
              </w:rPr>
              <w:t>理由</w:t>
            </w:r>
          </w:p>
        </w:tc>
        <w:tc>
          <w:tcPr>
            <w:tcW w:w="6550" w:type="dxa"/>
            <w:noWrap w:val="0"/>
            <w:vAlign w:val="top"/>
          </w:tcPr>
          <w:p w14:paraId="0A763F5E">
            <w:pPr>
              <w:pStyle w:val="11"/>
              <w:numPr>
                <w:ilvl w:val="0"/>
                <w:numId w:val="0"/>
              </w:numPr>
              <w:wordWrap w:val="0"/>
              <w:jc w:val="right"/>
              <w:rPr>
                <w:rFonts w:hint="eastAsia" w:ascii="宋体" w:hAnsi="宋体" w:eastAsia="宋体" w:cs="宋体"/>
                <w:snapToGrid w:val="0"/>
                <w:color w:val="000000"/>
                <w:spacing w:val="7"/>
                <w:kern w:val="0"/>
                <w:sz w:val="22"/>
                <w:szCs w:val="22"/>
                <w:lang w:val="en-US" w:eastAsia="en-US" w:bidi="ar-SA"/>
              </w:rPr>
            </w:pPr>
          </w:p>
        </w:tc>
      </w:tr>
      <w:tr w14:paraId="692A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972" w:type="dxa"/>
            <w:noWrap w:val="0"/>
            <w:vAlign w:val="center"/>
          </w:tcPr>
          <w:p w14:paraId="4FBA6725">
            <w:pPr>
              <w:pStyle w:val="11"/>
              <w:numPr>
                <w:ilvl w:val="0"/>
                <w:numId w:val="0"/>
              </w:numPr>
              <w:jc w:val="center"/>
              <w:rPr>
                <w:rFonts w:hint="eastAsia" w:ascii="宋体" w:hAnsi="宋体" w:cs="宋体"/>
                <w:b/>
                <w:bCs/>
                <w:snapToGrid w:val="0"/>
                <w:color w:val="000000"/>
                <w:spacing w:val="7"/>
                <w:kern w:val="0"/>
                <w:sz w:val="22"/>
                <w:szCs w:val="22"/>
                <w:lang w:eastAsia="en-US"/>
              </w:rPr>
            </w:pPr>
            <w:r>
              <w:rPr>
                <w:rFonts w:hint="eastAsia" w:ascii="宋体" w:hAnsi="宋体" w:cs="宋体"/>
                <w:b/>
                <w:bCs/>
                <w:snapToGrid w:val="0"/>
                <w:color w:val="000000"/>
                <w:spacing w:val="7"/>
                <w:kern w:val="0"/>
                <w:sz w:val="22"/>
                <w:szCs w:val="22"/>
                <w:lang w:eastAsia="en-US"/>
              </w:rPr>
              <w:t>案件编号</w:t>
            </w:r>
          </w:p>
          <w:p w14:paraId="00D35A14">
            <w:pPr>
              <w:pStyle w:val="11"/>
              <w:numPr>
                <w:ilvl w:val="0"/>
                <w:numId w:val="0"/>
              </w:numPr>
              <w:jc w:val="center"/>
              <w:rPr>
                <w:rFonts w:hint="eastAsia" w:ascii="宋体" w:hAnsi="宋体" w:cs="宋体"/>
                <w:b/>
                <w:bCs/>
                <w:snapToGrid w:val="0"/>
                <w:color w:val="000000"/>
                <w:spacing w:val="7"/>
                <w:kern w:val="0"/>
                <w:sz w:val="22"/>
                <w:szCs w:val="22"/>
                <w:lang w:eastAsia="en-US"/>
              </w:rPr>
            </w:pPr>
            <w:r>
              <w:rPr>
                <w:rFonts w:hint="eastAsia" w:ascii="宋体" w:hAnsi="宋体" w:cs="宋体"/>
                <w:b/>
                <w:bCs/>
                <w:snapToGrid w:val="0"/>
                <w:color w:val="000000"/>
                <w:spacing w:val="7"/>
                <w:kern w:val="0"/>
                <w:sz w:val="22"/>
                <w:szCs w:val="22"/>
                <w:lang w:eastAsia="en-US"/>
              </w:rPr>
              <w:t>（中心填写）</w:t>
            </w:r>
          </w:p>
        </w:tc>
        <w:tc>
          <w:tcPr>
            <w:tcW w:w="6550" w:type="dxa"/>
            <w:noWrap w:val="0"/>
            <w:vAlign w:val="top"/>
          </w:tcPr>
          <w:p w14:paraId="63152FA0">
            <w:pPr>
              <w:pStyle w:val="11"/>
              <w:numPr>
                <w:ilvl w:val="0"/>
                <w:numId w:val="0"/>
              </w:numPr>
              <w:wordWrap w:val="0"/>
              <w:jc w:val="right"/>
              <w:rPr>
                <w:rFonts w:hint="eastAsia" w:ascii="宋体" w:hAnsi="宋体" w:eastAsia="宋体" w:cs="宋体"/>
                <w:snapToGrid w:val="0"/>
                <w:color w:val="000000"/>
                <w:spacing w:val="7"/>
                <w:kern w:val="0"/>
                <w:sz w:val="22"/>
                <w:szCs w:val="22"/>
                <w:lang w:val="en-US" w:eastAsia="en-US" w:bidi="ar-SA"/>
              </w:rPr>
            </w:pPr>
          </w:p>
        </w:tc>
      </w:tr>
    </w:tbl>
    <w:p w14:paraId="67308007">
      <w:pPr>
        <w:pStyle w:val="11"/>
        <w:numPr>
          <w:ilvl w:val="0"/>
          <w:numId w:val="0"/>
        </w:numPr>
        <w:ind w:leftChars="0"/>
        <w:jc w:val="both"/>
        <w:rPr>
          <w:rFonts w:hint="eastAsia" w:ascii="黑体" w:hAnsi="黑体" w:eastAsia="黑体" w:cs="黑体"/>
          <w:b w:val="0"/>
          <w:bCs w:val="0"/>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en-US" w:bidi="ar-SA"/>
        </w:rPr>
        <w:br w:type="page"/>
      </w:r>
      <w:r>
        <w:rPr>
          <w:rFonts w:hint="eastAsia" w:ascii="黑体" w:hAnsi="黑体" w:eastAsia="黑体" w:cs="黑体"/>
          <w:b w:val="0"/>
          <w:bCs w:val="0"/>
          <w:color w:val="auto"/>
          <w:kern w:val="2"/>
          <w:sz w:val="32"/>
          <w:szCs w:val="32"/>
          <w:lang w:val="en-US" w:eastAsia="zh-CN" w:bidi="ar-SA"/>
        </w:rPr>
        <w:t>附件2</w:t>
      </w:r>
    </w:p>
    <w:p w14:paraId="04F216F1">
      <w:pPr>
        <w:spacing w:line="576" w:lineRule="exact"/>
        <w:jc w:val="center"/>
        <w:rPr>
          <w:rFonts w:hint="eastAsia" w:ascii="方正小标宋简体" w:hAnsi="方正小标宋简体" w:eastAsia="方正小标宋简体" w:cs="方正小标宋简体"/>
          <w:sz w:val="44"/>
          <w:szCs w:val="44"/>
          <w:lang w:val="en-US" w:eastAsia="en-US"/>
        </w:rPr>
      </w:pPr>
      <w:r>
        <w:rPr>
          <w:rFonts w:hint="eastAsia" w:ascii="方正小标宋简体" w:hAnsi="方正小标宋简体" w:eastAsia="方正小标宋简体" w:cs="方正小标宋简体"/>
          <w:sz w:val="44"/>
          <w:szCs w:val="44"/>
          <w:lang w:val="en-US" w:eastAsia="en-US"/>
        </w:rPr>
        <w:t>湘潭市知识产权保护中心</w:t>
      </w:r>
    </w:p>
    <w:p w14:paraId="4DE43CDC">
      <w:pPr>
        <w:spacing w:line="576"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en-US"/>
        </w:rPr>
        <w:t>专利复审无效案件</w:t>
      </w:r>
      <w:r>
        <w:rPr>
          <w:rFonts w:hint="eastAsia" w:ascii="方正小标宋简体" w:hAnsi="方正小标宋简体" w:eastAsia="方正小标宋简体" w:cs="方正小标宋简体"/>
          <w:sz w:val="44"/>
          <w:szCs w:val="44"/>
          <w:lang w:val="en-US" w:eastAsia="zh-CN"/>
        </w:rPr>
        <w:t>多模式口头审理申请</w:t>
      </w:r>
    </w:p>
    <w:p w14:paraId="160AD213">
      <w:pPr>
        <w:spacing w:line="576"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处理通知书</w:t>
      </w:r>
    </w:p>
    <w:tbl>
      <w:tblPr>
        <w:tblStyle w:val="12"/>
        <w:tblpPr w:leftFromText="180" w:rightFromText="180" w:vertAnchor="text" w:horzAnchor="page" w:tblpX="1540" w:tblpY="1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6"/>
        <w:gridCol w:w="7013"/>
      </w:tblGrid>
      <w:tr w14:paraId="038F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666" w:type="dxa"/>
            <w:noWrap w:val="0"/>
            <w:vAlign w:val="center"/>
          </w:tcPr>
          <w:p w14:paraId="5B083314">
            <w:pPr>
              <w:pStyle w:val="11"/>
              <w:numPr>
                <w:ilvl w:val="0"/>
                <w:numId w:val="0"/>
              </w:numPr>
              <w:jc w:val="center"/>
              <w:rPr>
                <w:rFonts w:hint="eastAsia" w:ascii="宋体" w:hAnsi="宋体" w:eastAsia="宋体" w:cs="宋体"/>
                <w:b/>
                <w:bCs/>
                <w:snapToGrid w:val="0"/>
                <w:color w:val="000000"/>
                <w:spacing w:val="7"/>
                <w:kern w:val="0"/>
                <w:sz w:val="22"/>
                <w:szCs w:val="22"/>
                <w:lang w:val="en-US" w:eastAsia="zh-CN" w:bidi="ar-SA"/>
              </w:rPr>
            </w:pPr>
            <w:r>
              <w:rPr>
                <w:rFonts w:hint="eastAsia" w:ascii="宋体" w:hAnsi="宋体" w:cs="宋体"/>
                <w:b/>
                <w:bCs/>
                <w:snapToGrid w:val="0"/>
                <w:color w:val="000000"/>
                <w:spacing w:val="7"/>
                <w:kern w:val="0"/>
                <w:sz w:val="22"/>
                <w:szCs w:val="22"/>
                <w:lang w:val="en-US" w:eastAsia="zh-CN" w:bidi="ar-SA"/>
              </w:rPr>
              <w:t>申请人</w:t>
            </w:r>
          </w:p>
        </w:tc>
        <w:tc>
          <w:tcPr>
            <w:tcW w:w="7013" w:type="dxa"/>
            <w:noWrap w:val="0"/>
            <w:vAlign w:val="center"/>
          </w:tcPr>
          <w:p w14:paraId="1DF57C6E">
            <w:pPr>
              <w:pStyle w:val="11"/>
              <w:numPr>
                <w:ilvl w:val="0"/>
                <w:numId w:val="0"/>
              </w:numPr>
              <w:jc w:val="center"/>
              <w:rPr>
                <w:rFonts w:hint="eastAsia" w:ascii="宋体" w:hAnsi="宋体" w:eastAsia="宋体" w:cs="宋体"/>
                <w:snapToGrid w:val="0"/>
                <w:color w:val="000000"/>
                <w:spacing w:val="7"/>
                <w:kern w:val="0"/>
                <w:sz w:val="22"/>
                <w:szCs w:val="22"/>
                <w:lang w:val="en-US" w:eastAsia="en-US" w:bidi="ar-SA"/>
              </w:rPr>
            </w:pPr>
          </w:p>
        </w:tc>
      </w:tr>
      <w:tr w14:paraId="4796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666" w:type="dxa"/>
            <w:shd w:val="clear" w:color="auto" w:fill="auto"/>
            <w:noWrap w:val="0"/>
            <w:vAlign w:val="center"/>
          </w:tcPr>
          <w:p w14:paraId="465FE218">
            <w:pPr>
              <w:pStyle w:val="11"/>
              <w:numPr>
                <w:ilvl w:val="0"/>
                <w:numId w:val="0"/>
              </w:numPr>
              <w:ind w:left="0" w:leftChars="0" w:firstLine="0" w:firstLineChars="0"/>
              <w:jc w:val="center"/>
              <w:rPr>
                <w:rFonts w:hint="eastAsia" w:ascii="宋体" w:hAnsi="宋体" w:eastAsia="宋体" w:cs="宋体"/>
                <w:b/>
                <w:bCs/>
                <w:snapToGrid w:val="0"/>
                <w:color w:val="000000"/>
                <w:spacing w:val="7"/>
                <w:kern w:val="0"/>
                <w:sz w:val="22"/>
                <w:szCs w:val="22"/>
                <w:lang w:val="en-US" w:eastAsia="zh-CN" w:bidi="ar-SA"/>
              </w:rPr>
            </w:pPr>
            <w:r>
              <w:rPr>
                <w:rFonts w:hint="eastAsia" w:ascii="宋体" w:hAnsi="宋体" w:cs="宋体"/>
                <w:b/>
                <w:bCs/>
                <w:snapToGrid w:val="0"/>
                <w:color w:val="000000"/>
                <w:spacing w:val="7"/>
                <w:kern w:val="0"/>
                <w:sz w:val="22"/>
                <w:szCs w:val="22"/>
              </w:rPr>
              <w:t>案件基本信息</w:t>
            </w:r>
          </w:p>
        </w:tc>
        <w:tc>
          <w:tcPr>
            <w:tcW w:w="7013" w:type="dxa"/>
            <w:shd w:val="clear" w:color="auto" w:fill="auto"/>
            <w:noWrap w:val="0"/>
            <w:vAlign w:val="center"/>
          </w:tcPr>
          <w:p w14:paraId="3B000E13">
            <w:pPr>
              <w:pStyle w:val="11"/>
              <w:numPr>
                <w:ilvl w:val="0"/>
                <w:numId w:val="0"/>
              </w:numPr>
              <w:jc w:val="both"/>
              <w:rPr>
                <w:rFonts w:hint="eastAsia" w:ascii="宋体" w:hAnsi="宋体" w:cs="宋体"/>
                <w:snapToGrid w:val="0"/>
                <w:color w:val="000000"/>
                <w:spacing w:val="7"/>
                <w:kern w:val="0"/>
                <w:sz w:val="22"/>
                <w:szCs w:val="22"/>
                <w:lang w:val="en-US" w:eastAsia="zh-CN" w:bidi="ar-SA"/>
              </w:rPr>
            </w:pPr>
            <w:r>
              <w:rPr>
                <w:rFonts w:hint="eastAsia" w:ascii="宋体" w:hAnsi="宋体" w:cs="宋体"/>
                <w:snapToGrid w:val="0"/>
                <w:color w:val="000000"/>
                <w:spacing w:val="7"/>
                <w:kern w:val="0"/>
                <w:sz w:val="22"/>
                <w:szCs w:val="22"/>
                <w:lang w:val="en-US" w:eastAsia="zh-CN" w:bidi="ar-SA"/>
              </w:rPr>
              <w:t>专利号：</w:t>
            </w:r>
          </w:p>
          <w:p w14:paraId="5D953EFF">
            <w:pPr>
              <w:pStyle w:val="11"/>
              <w:numPr>
                <w:ilvl w:val="0"/>
                <w:numId w:val="0"/>
              </w:numPr>
              <w:jc w:val="both"/>
              <w:rPr>
                <w:rFonts w:hint="eastAsia" w:ascii="宋体" w:hAnsi="宋体" w:cs="宋体"/>
                <w:snapToGrid w:val="0"/>
                <w:color w:val="000000"/>
                <w:spacing w:val="7"/>
                <w:kern w:val="0"/>
                <w:sz w:val="22"/>
                <w:szCs w:val="22"/>
                <w:lang w:val="en-US" w:eastAsia="zh-CN" w:bidi="ar-SA"/>
              </w:rPr>
            </w:pPr>
            <w:r>
              <w:rPr>
                <w:rFonts w:hint="eastAsia" w:ascii="宋体" w:hAnsi="宋体" w:cs="宋体"/>
                <w:snapToGrid w:val="0"/>
                <w:color w:val="000000"/>
                <w:spacing w:val="7"/>
                <w:kern w:val="0"/>
                <w:sz w:val="22"/>
                <w:szCs w:val="22"/>
                <w:lang w:val="en-US" w:eastAsia="zh-CN" w:bidi="ar-SA"/>
              </w:rPr>
              <w:t>专利名称：</w:t>
            </w:r>
          </w:p>
          <w:p w14:paraId="54177833">
            <w:pPr>
              <w:pStyle w:val="11"/>
              <w:numPr>
                <w:ilvl w:val="0"/>
                <w:numId w:val="0"/>
              </w:numPr>
              <w:ind w:left="0" w:leftChars="0" w:firstLine="0" w:firstLineChars="0"/>
              <w:jc w:val="both"/>
              <w:rPr>
                <w:rFonts w:hint="default" w:ascii="宋体" w:hAnsi="宋体" w:eastAsia="宋体" w:cs="宋体"/>
                <w:snapToGrid w:val="0"/>
                <w:color w:val="000000"/>
                <w:spacing w:val="7"/>
                <w:kern w:val="0"/>
                <w:sz w:val="22"/>
                <w:szCs w:val="22"/>
                <w:lang w:val="en-US" w:eastAsia="zh-CN" w:bidi="ar-SA"/>
              </w:rPr>
            </w:pPr>
            <w:r>
              <w:rPr>
                <w:rFonts w:hint="eastAsia" w:ascii="宋体" w:hAnsi="宋体" w:cs="宋体"/>
                <w:snapToGrid w:val="0"/>
                <w:color w:val="000000"/>
                <w:spacing w:val="7"/>
                <w:kern w:val="0"/>
                <w:sz w:val="22"/>
                <w:szCs w:val="22"/>
                <w:lang w:val="en-US" w:eastAsia="zh-CN" w:bidi="ar-SA"/>
              </w:rPr>
              <w:t>专利权人：</w:t>
            </w:r>
          </w:p>
        </w:tc>
      </w:tr>
      <w:tr w14:paraId="2A56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66" w:type="dxa"/>
            <w:noWrap w:val="0"/>
            <w:vAlign w:val="center"/>
          </w:tcPr>
          <w:p w14:paraId="22EC9565">
            <w:pPr>
              <w:pStyle w:val="11"/>
              <w:numPr>
                <w:ilvl w:val="0"/>
                <w:numId w:val="0"/>
              </w:numPr>
              <w:jc w:val="center"/>
              <w:rPr>
                <w:rFonts w:hint="eastAsia" w:ascii="宋体" w:hAnsi="宋体" w:eastAsia="宋体" w:cs="宋体"/>
                <w:b/>
                <w:bCs/>
                <w:snapToGrid w:val="0"/>
                <w:color w:val="000000"/>
                <w:spacing w:val="7"/>
                <w:kern w:val="0"/>
                <w:sz w:val="22"/>
                <w:szCs w:val="22"/>
                <w:lang w:val="en-US" w:eastAsia="en-US" w:bidi="ar-SA"/>
              </w:rPr>
            </w:pPr>
            <w:r>
              <w:rPr>
                <w:rFonts w:hint="eastAsia" w:ascii="宋体" w:hAnsi="宋体" w:cs="宋体"/>
                <w:b/>
                <w:bCs/>
                <w:snapToGrid w:val="0"/>
                <w:color w:val="000000"/>
                <w:spacing w:val="7"/>
                <w:kern w:val="0"/>
                <w:sz w:val="22"/>
                <w:szCs w:val="22"/>
                <w:lang w:eastAsia="en-US"/>
              </w:rPr>
              <w:t>申请</w:t>
            </w:r>
            <w:r>
              <w:rPr>
                <w:rFonts w:hint="eastAsia" w:ascii="宋体" w:hAnsi="宋体" w:cs="宋体"/>
                <w:b/>
                <w:bCs/>
                <w:snapToGrid w:val="0"/>
                <w:color w:val="000000"/>
                <w:spacing w:val="7"/>
                <w:kern w:val="0"/>
                <w:sz w:val="22"/>
                <w:szCs w:val="22"/>
                <w:lang w:eastAsia="zh-CN"/>
              </w:rPr>
              <w:t>审理</w:t>
            </w:r>
            <w:r>
              <w:rPr>
                <w:rFonts w:hint="eastAsia" w:ascii="宋体" w:hAnsi="宋体" w:cs="宋体"/>
                <w:b/>
                <w:bCs/>
                <w:snapToGrid w:val="0"/>
                <w:color w:val="000000"/>
                <w:spacing w:val="7"/>
                <w:kern w:val="0"/>
                <w:sz w:val="22"/>
                <w:szCs w:val="22"/>
                <w:lang w:eastAsia="en-US"/>
              </w:rPr>
              <w:t>类型</w:t>
            </w:r>
          </w:p>
        </w:tc>
        <w:tc>
          <w:tcPr>
            <w:tcW w:w="7013" w:type="dxa"/>
            <w:noWrap w:val="0"/>
            <w:vAlign w:val="center"/>
          </w:tcPr>
          <w:p w14:paraId="2E8D6DC0">
            <w:pPr>
              <w:pStyle w:val="11"/>
              <w:numPr>
                <w:ilvl w:val="0"/>
                <w:numId w:val="0"/>
              </w:numPr>
              <w:ind w:firstLine="0" w:firstLineChars="0"/>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□巡回审理</w:t>
            </w:r>
            <w:r>
              <w:rPr>
                <w:rFonts w:hint="eastAsia" w:ascii="宋体" w:hAnsi="宋体" w:eastAsia="宋体" w:cs="宋体"/>
                <w:snapToGrid w:val="0"/>
                <w:color w:val="000000"/>
                <w:spacing w:val="7"/>
                <w:kern w:val="0"/>
                <w:sz w:val="22"/>
                <w:szCs w:val="22"/>
                <w:lang w:val="en-US" w:eastAsia="zh-CN" w:bidi="ar-SA"/>
              </w:rPr>
              <w:t xml:space="preserve">    □</w:t>
            </w:r>
            <w:r>
              <w:rPr>
                <w:rFonts w:hint="eastAsia" w:ascii="宋体" w:hAnsi="宋体" w:eastAsia="宋体" w:cs="宋体"/>
                <w:snapToGrid w:val="0"/>
                <w:color w:val="000000"/>
                <w:spacing w:val="7"/>
                <w:kern w:val="0"/>
                <w:sz w:val="22"/>
                <w:szCs w:val="22"/>
                <w:lang w:val="en-US" w:eastAsia="en-US" w:bidi="ar-SA"/>
              </w:rPr>
              <w:t>远程审理</w:t>
            </w:r>
            <w:r>
              <w:rPr>
                <w:rFonts w:hint="eastAsia" w:ascii="宋体" w:hAnsi="宋体" w:eastAsia="宋体" w:cs="宋体"/>
                <w:snapToGrid w:val="0"/>
                <w:color w:val="000000"/>
                <w:spacing w:val="7"/>
                <w:kern w:val="0"/>
                <w:sz w:val="22"/>
                <w:szCs w:val="22"/>
                <w:lang w:val="en-US" w:eastAsia="zh-CN" w:bidi="ar-SA"/>
              </w:rPr>
              <w:t xml:space="preserve">        </w:t>
            </w:r>
            <w:r>
              <w:rPr>
                <w:rFonts w:hint="eastAsia" w:ascii="宋体" w:hAnsi="宋体" w:eastAsia="宋体" w:cs="宋体"/>
                <w:snapToGrid w:val="0"/>
                <w:color w:val="000000"/>
                <w:spacing w:val="7"/>
                <w:kern w:val="0"/>
                <w:sz w:val="22"/>
                <w:szCs w:val="22"/>
                <w:lang w:val="en-US" w:eastAsia="en-US" w:bidi="ar-SA"/>
              </w:rPr>
              <w:t>□联合审理</w:t>
            </w:r>
          </w:p>
        </w:tc>
      </w:tr>
      <w:tr w14:paraId="69D1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666" w:type="dxa"/>
            <w:noWrap w:val="0"/>
            <w:vAlign w:val="center"/>
          </w:tcPr>
          <w:p w14:paraId="135F4C97">
            <w:pPr>
              <w:pStyle w:val="11"/>
              <w:numPr>
                <w:ilvl w:val="0"/>
                <w:numId w:val="0"/>
              </w:numPr>
              <w:jc w:val="center"/>
              <w:rPr>
                <w:rFonts w:hint="eastAsia" w:ascii="宋体" w:hAnsi="宋体" w:eastAsia="宋体" w:cs="宋体"/>
                <w:b/>
                <w:bCs/>
                <w:snapToGrid w:val="0"/>
                <w:color w:val="000000"/>
                <w:spacing w:val="7"/>
                <w:kern w:val="0"/>
                <w:sz w:val="22"/>
                <w:szCs w:val="22"/>
                <w:lang w:val="en-US" w:eastAsia="zh-CN" w:bidi="ar-SA"/>
              </w:rPr>
            </w:pPr>
            <w:r>
              <w:rPr>
                <w:rFonts w:hint="eastAsia" w:ascii="宋体" w:hAnsi="宋体" w:eastAsia="宋体" w:cs="宋体"/>
                <w:b/>
                <w:bCs/>
                <w:snapToGrid w:val="0"/>
                <w:color w:val="000000"/>
                <w:spacing w:val="7"/>
                <w:kern w:val="0"/>
                <w:sz w:val="22"/>
                <w:szCs w:val="22"/>
                <w:lang w:eastAsia="zh-CN"/>
              </w:rPr>
              <w:t>处理结果</w:t>
            </w:r>
          </w:p>
        </w:tc>
        <w:tc>
          <w:tcPr>
            <w:tcW w:w="7013" w:type="dxa"/>
            <w:noWrap w:val="0"/>
            <w:vAlign w:val="center"/>
          </w:tcPr>
          <w:p w14:paraId="73CC0839">
            <w:pPr>
              <w:pStyle w:val="11"/>
              <w:numPr>
                <w:ilvl w:val="0"/>
                <w:numId w:val="0"/>
              </w:numPr>
              <w:jc w:val="both"/>
              <w:rPr>
                <w:rFonts w:hint="eastAsia" w:ascii="宋体" w:hAnsi="宋体" w:eastAsia="宋体" w:cs="宋体"/>
                <w:snapToGrid w:val="0"/>
                <w:color w:val="000000"/>
                <w:spacing w:val="7"/>
                <w:kern w:val="0"/>
                <w:sz w:val="22"/>
                <w:szCs w:val="22"/>
                <w:lang w:val="en-US" w:eastAsia="en-US" w:bidi="ar-SA"/>
              </w:rPr>
            </w:pPr>
            <w:r>
              <w:rPr>
                <w:rFonts w:hint="eastAsia" w:ascii="宋体" w:hAnsi="宋体" w:eastAsia="宋体" w:cs="宋体"/>
                <w:snapToGrid w:val="0"/>
                <w:color w:val="000000"/>
                <w:spacing w:val="7"/>
                <w:kern w:val="0"/>
                <w:sz w:val="22"/>
                <w:szCs w:val="22"/>
                <w:lang w:val="en-US" w:eastAsia="en-US" w:bidi="ar-SA"/>
              </w:rPr>
              <w:t>□</w:t>
            </w:r>
            <w:r>
              <w:rPr>
                <w:rFonts w:hint="eastAsia" w:ascii="宋体" w:hAnsi="宋体" w:eastAsia="宋体" w:cs="宋体"/>
                <w:snapToGrid w:val="0"/>
                <w:color w:val="000000"/>
                <w:spacing w:val="7"/>
                <w:kern w:val="0"/>
                <w:sz w:val="22"/>
                <w:szCs w:val="22"/>
                <w:lang w:val="en-US" w:eastAsia="zh-CN" w:bidi="ar-SA"/>
              </w:rPr>
              <w:t>不予受理    □不予开展</w:t>
            </w:r>
            <w:r>
              <w:rPr>
                <w:rFonts w:hint="eastAsia" w:ascii="宋体" w:hAnsi="宋体" w:eastAsia="宋体" w:cs="宋体"/>
                <w:snapToGrid w:val="0"/>
                <w:color w:val="000000"/>
                <w:spacing w:val="7"/>
                <w:kern w:val="0"/>
                <w:sz w:val="22"/>
                <w:szCs w:val="22"/>
                <w:lang w:val="en-US" w:eastAsia="en-US" w:bidi="ar-SA"/>
              </w:rPr>
              <w:t>审理</w:t>
            </w:r>
            <w:r>
              <w:rPr>
                <w:rFonts w:hint="eastAsia" w:ascii="宋体" w:hAnsi="宋体" w:eastAsia="宋体" w:cs="宋体"/>
                <w:snapToGrid w:val="0"/>
                <w:color w:val="000000"/>
                <w:spacing w:val="7"/>
                <w:kern w:val="0"/>
                <w:sz w:val="22"/>
                <w:szCs w:val="22"/>
                <w:lang w:val="en-US" w:eastAsia="zh-CN" w:bidi="ar-SA"/>
              </w:rPr>
              <w:t xml:space="preserve">    </w:t>
            </w:r>
            <w:r>
              <w:rPr>
                <w:rFonts w:hint="eastAsia" w:ascii="宋体" w:hAnsi="宋体" w:eastAsia="宋体" w:cs="宋体"/>
                <w:snapToGrid w:val="0"/>
                <w:color w:val="000000"/>
                <w:spacing w:val="7"/>
                <w:kern w:val="0"/>
                <w:sz w:val="22"/>
                <w:szCs w:val="22"/>
                <w:lang w:val="en-US" w:eastAsia="en-US" w:bidi="ar-SA"/>
              </w:rPr>
              <w:t>□</w:t>
            </w:r>
            <w:r>
              <w:rPr>
                <w:rFonts w:hint="eastAsia" w:ascii="宋体" w:hAnsi="宋体" w:eastAsia="宋体" w:cs="宋体"/>
                <w:snapToGrid w:val="0"/>
                <w:color w:val="000000"/>
                <w:spacing w:val="7"/>
                <w:kern w:val="0"/>
                <w:sz w:val="22"/>
                <w:szCs w:val="22"/>
                <w:lang w:val="en-US" w:eastAsia="zh-CN" w:bidi="ar-SA"/>
              </w:rPr>
              <w:t>开展</w:t>
            </w:r>
            <w:r>
              <w:rPr>
                <w:rFonts w:hint="eastAsia" w:ascii="宋体" w:hAnsi="宋体" w:eastAsia="宋体" w:cs="宋体"/>
                <w:snapToGrid w:val="0"/>
                <w:color w:val="000000"/>
                <w:spacing w:val="7"/>
                <w:kern w:val="0"/>
                <w:sz w:val="22"/>
                <w:szCs w:val="22"/>
                <w:lang w:val="en-US" w:eastAsia="en-US" w:bidi="ar-SA"/>
              </w:rPr>
              <w:t>审理</w:t>
            </w:r>
          </w:p>
        </w:tc>
      </w:tr>
      <w:tr w14:paraId="37BB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2" w:hRule="atLeast"/>
        </w:trPr>
        <w:tc>
          <w:tcPr>
            <w:tcW w:w="8679" w:type="dxa"/>
            <w:gridSpan w:val="2"/>
            <w:noWrap w:val="0"/>
            <w:vAlign w:val="center"/>
          </w:tcPr>
          <w:p w14:paraId="183A0BD4">
            <w:pPr>
              <w:keepNext w:val="0"/>
              <w:keepLines w:val="0"/>
              <w:widowControl/>
              <w:suppressLineNumbers w:val="0"/>
              <w:ind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kern w:val="0"/>
                <w:sz w:val="28"/>
                <w:szCs w:val="28"/>
                <w:lang w:val="en-US" w:eastAsia="zh-CN" w:bidi="ar"/>
              </w:rPr>
              <w:t xml:space="preserve">XXX于 年 月 日向湘潭市知识产权保护中心提交了无效宣告案件编号为XXX的专利复审无效案件多模式口头审理申请，处理结果如下： </w:t>
            </w:r>
          </w:p>
          <w:p w14:paraId="26F727D2">
            <w:pPr>
              <w:keepNext w:val="0"/>
              <w:keepLines w:val="0"/>
              <w:widowControl/>
              <w:suppressLineNumbers w:val="0"/>
              <w:ind w:firstLine="468"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spacing w:val="7"/>
                <w:kern w:val="0"/>
                <w:sz w:val="22"/>
                <w:szCs w:val="22"/>
                <w:lang w:val="en-US" w:eastAsia="en-US" w:bidi="ar-SA"/>
              </w:rPr>
              <w:t>□</w:t>
            </w:r>
            <w:r>
              <w:rPr>
                <w:rFonts w:hint="eastAsia" w:ascii="方正仿宋_GBK" w:hAnsi="方正仿宋_GBK" w:eastAsia="方正仿宋_GBK" w:cs="方正仿宋_GBK"/>
                <w:color w:val="000000"/>
                <w:kern w:val="0"/>
                <w:sz w:val="28"/>
                <w:szCs w:val="28"/>
                <w:lang w:val="en-US" w:eastAsia="zh-CN" w:bidi="ar"/>
              </w:rPr>
              <w:t xml:space="preserve">不符合申请条件，不予受理。 </w:t>
            </w:r>
          </w:p>
          <w:p w14:paraId="03978F54">
            <w:pPr>
              <w:keepNext w:val="0"/>
              <w:keepLines w:val="0"/>
              <w:widowControl/>
              <w:suppressLineNumbers w:val="0"/>
              <w:ind w:firstLine="468"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spacing w:val="7"/>
                <w:kern w:val="0"/>
                <w:sz w:val="22"/>
                <w:szCs w:val="22"/>
                <w:lang w:val="en-US" w:eastAsia="en-US" w:bidi="ar-SA"/>
              </w:rPr>
              <w:t>□</w:t>
            </w:r>
            <w:r>
              <w:rPr>
                <w:rFonts w:hint="eastAsia" w:ascii="方正仿宋_GBK" w:hAnsi="方正仿宋_GBK" w:eastAsia="方正仿宋_GBK" w:cs="方正仿宋_GBK"/>
                <w:color w:val="000000"/>
                <w:kern w:val="0"/>
                <w:sz w:val="28"/>
                <w:szCs w:val="28"/>
                <w:lang w:val="en-US" w:eastAsia="zh-CN" w:bidi="ar"/>
              </w:rPr>
              <w:t xml:space="preserve">符合申请条件，经对接联系，不予开展多模式口头审理。 </w:t>
            </w:r>
          </w:p>
          <w:p w14:paraId="736FA194">
            <w:pPr>
              <w:keepNext w:val="0"/>
              <w:keepLines w:val="0"/>
              <w:widowControl/>
              <w:suppressLineNumbers w:val="0"/>
              <w:ind w:firstLine="468"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napToGrid w:val="0"/>
                <w:color w:val="000000"/>
                <w:spacing w:val="7"/>
                <w:kern w:val="0"/>
                <w:sz w:val="22"/>
                <w:szCs w:val="22"/>
                <w:lang w:val="en-US" w:eastAsia="zh-CN" w:bidi="ar-SA"/>
              </w:rPr>
              <w:t>□</w:t>
            </w:r>
            <w:r>
              <w:rPr>
                <w:rFonts w:hint="eastAsia" w:ascii="方正仿宋_GBK" w:hAnsi="方正仿宋_GBK" w:eastAsia="方正仿宋_GBK" w:cs="方正仿宋_GBK"/>
                <w:color w:val="000000"/>
                <w:kern w:val="0"/>
                <w:sz w:val="28"/>
                <w:szCs w:val="28"/>
                <w:lang w:val="en-US" w:eastAsia="zh-CN" w:bidi="ar"/>
              </w:rPr>
              <w:t xml:space="preserve">符合申请条件，经对接联系，同意开展多模式口头审理。 </w:t>
            </w:r>
          </w:p>
          <w:p w14:paraId="244F1384">
            <w:pPr>
              <w:widowControl/>
              <w:ind w:firstLine="560" w:firstLineChars="200"/>
              <w:rPr>
                <w:rFonts w:hint="eastAsia"/>
              </w:rPr>
            </w:pPr>
            <w:r>
              <w:rPr>
                <w:rFonts w:hint="eastAsia" w:ascii="方正仿宋_GBK" w:hAnsi="方正仿宋_GBK" w:eastAsia="方正仿宋_GBK" w:cs="方正仿宋_GBK"/>
                <w:color w:val="000000"/>
                <w:kern w:val="0"/>
                <w:sz w:val="28"/>
                <w:szCs w:val="28"/>
                <w:lang w:val="en-US" w:eastAsia="zh-CN" w:bidi="ar"/>
              </w:rPr>
              <w:t>特此通知。</w:t>
            </w:r>
          </w:p>
          <w:p w14:paraId="127C4D62">
            <w:pPr>
              <w:pStyle w:val="11"/>
              <w:numPr>
                <w:ilvl w:val="0"/>
                <w:numId w:val="0"/>
              </w:numPr>
              <w:wordWrap w:val="0"/>
              <w:jc w:val="right"/>
              <w:rPr>
                <w:rFonts w:hint="default" w:ascii="方正仿宋_GBK" w:hAnsi="方正仿宋_GBK" w:eastAsia="方正仿宋_GBK" w:cs="方正仿宋_GBK"/>
                <w:snapToGrid w:val="0"/>
                <w:color w:val="000000"/>
                <w:spacing w:val="7"/>
                <w:kern w:val="0"/>
                <w:sz w:val="28"/>
                <w:szCs w:val="28"/>
                <w:lang w:val="en-US" w:eastAsia="zh-CN" w:bidi="ar-SA"/>
              </w:rPr>
            </w:pPr>
            <w:r>
              <w:rPr>
                <w:rFonts w:hint="eastAsia" w:ascii="方正仿宋_GBK" w:hAnsi="方正仿宋_GBK" w:eastAsia="方正仿宋_GBK" w:cs="方正仿宋_GBK"/>
                <w:snapToGrid w:val="0"/>
                <w:color w:val="000000"/>
                <w:spacing w:val="7"/>
                <w:kern w:val="0"/>
                <w:sz w:val="28"/>
                <w:szCs w:val="28"/>
                <w:lang w:val="en-US" w:eastAsia="zh-CN" w:bidi="ar-SA"/>
              </w:rPr>
              <w:t xml:space="preserve">湘潭市知识产权保护中心    </w:t>
            </w:r>
          </w:p>
          <w:p w14:paraId="5541793E">
            <w:pPr>
              <w:pStyle w:val="11"/>
              <w:numPr>
                <w:ilvl w:val="0"/>
                <w:numId w:val="0"/>
              </w:numPr>
              <w:ind w:left="0" w:leftChars="0" w:firstLine="5292" w:firstLineChars="1800"/>
              <w:jc w:val="both"/>
              <w:rPr>
                <w:rFonts w:hint="eastAsia" w:ascii="宋体" w:hAnsi="宋体" w:eastAsia="宋体" w:cs="宋体"/>
                <w:snapToGrid w:val="0"/>
                <w:color w:val="000000"/>
                <w:spacing w:val="7"/>
                <w:kern w:val="0"/>
                <w:sz w:val="22"/>
                <w:szCs w:val="22"/>
                <w:lang w:val="en-US" w:eastAsia="en-US" w:bidi="ar-SA"/>
              </w:rPr>
            </w:pPr>
            <w:r>
              <w:rPr>
                <w:rFonts w:hint="eastAsia" w:ascii="方正仿宋_GBK" w:hAnsi="方正仿宋_GBK" w:eastAsia="方正仿宋_GBK" w:cs="方正仿宋_GBK"/>
                <w:snapToGrid w:val="0"/>
                <w:color w:val="000000"/>
                <w:spacing w:val="7"/>
                <w:kern w:val="0"/>
                <w:sz w:val="28"/>
                <w:szCs w:val="28"/>
                <w:lang w:val="en-US" w:eastAsia="zh-CN" w:bidi="ar-SA"/>
              </w:rPr>
              <w:t>xx年xx月xx日</w:t>
            </w:r>
          </w:p>
        </w:tc>
      </w:tr>
    </w:tbl>
    <w:p w14:paraId="6581E880">
      <w:pPr>
        <w:spacing w:line="576" w:lineRule="exact"/>
        <w:jc w:val="both"/>
        <w:rPr>
          <w:rFonts w:hint="eastAsia" w:ascii="方正小标宋简体" w:hAnsi="方正小标宋简体" w:eastAsia="方正小标宋简体" w:cs="方正小标宋简体"/>
          <w:sz w:val="44"/>
          <w:szCs w:val="44"/>
          <w:lang w:val="en-US" w:eastAsia="en-US"/>
        </w:rPr>
      </w:pPr>
    </w:p>
    <w:p w14:paraId="56F0A451">
      <w:pPr>
        <w:rPr>
          <w:rFonts w:ascii="仿宋_GB2312" w:hAnsi="仿宋_GB2312" w:eastAsia="仿宋_GB2312" w:cs="仿宋_GB2312"/>
          <w:sz w:val="32"/>
          <w:szCs w:val="32"/>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325755</wp:posOffset>
                </wp:positionV>
                <wp:extent cx="5670550" cy="127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70550" cy="127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25.65pt;height:0.1pt;width:446.5pt;z-index:251660288;mso-width-relative:page;mso-height-relative:page;" filled="f" stroked="t" coordsize="21600,21600" o:gfxdata="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ewdxNgAAAAIAQAADwAAAAAAAAABACAAAAAiAAAAZHJzL2Rvd25yZXYueG1sUEsBAhQA&#10;FAAAAAgAh07iQNs2JkHyAQAA6gMAAA4AAAAAAAAAAQAgAAAAJwEAAGRycy9lMm9Eb2MueG1sUEsF&#10;BgAAAAAGAAYAWQEAAIsFAAAAAA==&#10;">
                <v:fill on="f" focussize="0,0"/>
                <v:stroke weight="1pt" color="#000000" joinstyle="round"/>
                <v:imagedata o:title=""/>
                <o:lock v:ext="edit" aspectratio="f"/>
              </v:line>
            </w:pict>
          </mc:Fallback>
        </mc:AlternateContent>
      </w:r>
    </w:p>
    <w:p w14:paraId="343522BE">
      <w:pPr>
        <w:pStyle w:val="2"/>
        <w:rPr>
          <w:rFonts w:hint="eastAsia" w:ascii="方正仿宋_GBK" w:hAnsi="方正仿宋_GBK" w:eastAsia="方正仿宋_GBK" w:cs="方正仿宋_GBK"/>
          <w:b w:val="0"/>
          <w:bCs w:val="0"/>
          <w:color w:val="auto"/>
          <w:kern w:val="2"/>
          <w:sz w:val="32"/>
          <w:szCs w:val="32"/>
          <w:lang w:val="en-US" w:eastAsia="zh-CN" w:bidi="ar-SA"/>
        </w:rPr>
      </w:pPr>
      <w:r>
        <w:rPr>
          <w:rFonts w:hint="eastAsia" w:ascii="方正仿宋_GBK" w:hAnsi="方正仿宋_GBK" w:eastAsia="方正仿宋_GBK" w:cs="方正仿宋_GBK"/>
          <w:sz w:val="28"/>
          <w:szCs w:val="28"/>
        </w:rPr>
        <mc:AlternateContent>
          <mc:Choice Requires="wps">
            <w:drawing>
              <wp:anchor distT="0" distB="0" distL="114300" distR="114300" simplePos="0" relativeHeight="251661312" behindDoc="0" locked="0" layoutInCell="1" allowOverlap="1">
                <wp:simplePos x="0" y="0"/>
                <wp:positionH relativeFrom="column">
                  <wp:posOffset>-45720</wp:posOffset>
                </wp:positionH>
                <wp:positionV relativeFrom="paragraph">
                  <wp:posOffset>422910</wp:posOffset>
                </wp:positionV>
                <wp:extent cx="5685790" cy="15240"/>
                <wp:effectExtent l="0" t="6350" r="13970" b="8890"/>
                <wp:wrapNone/>
                <wp:docPr id="5" name="直接连接符 5"/>
                <wp:cNvGraphicFramePr/>
                <a:graphic xmlns:a="http://schemas.openxmlformats.org/drawingml/2006/main">
                  <a:graphicData uri="http://schemas.microsoft.com/office/word/2010/wordprocessingShape">
                    <wps:wsp>
                      <wps:cNvCnPr/>
                      <wps:spPr>
                        <a:xfrm flipV="1">
                          <a:off x="0" y="0"/>
                          <a:ext cx="5685790" cy="1524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3.6pt;margin-top:33.3pt;height:1.2pt;width:447.7pt;z-index:251661312;mso-width-relative:page;mso-height-relative:page;" filled="f" stroked="t" coordsize="21600,21600" o:gfxdata="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98l1W1wAAAAgBAAAPAAAAAAAAAAEAIAAAACIAAABkcnMvZG93bnJl&#10;di54bWxQSwECFAAUAAAACACHTuJACX4Ga/4BAAD1AwAADgAAAAAAAAABACAAAAAmAQAAZHJzL2Uy&#10;b0RvYy54bWxQSwUGAAAAAAYABgBZAQAAlgUAAAAA&#10;">
                <v:fill on="f" focussize="0,0"/>
                <v:stroke weight="1pt" color="#000000" joinstyle="round"/>
                <v:imagedata o:title=""/>
                <o:lock v:ext="edit" aspectratio="f"/>
              </v:line>
            </w:pict>
          </mc:Fallback>
        </mc:AlternateContent>
      </w:r>
      <w:r>
        <w:rPr>
          <w:rFonts w:hint="eastAsia" w:ascii="方正仿宋_GBK" w:hAnsi="方正仿宋_GBK" w:eastAsia="方正仿宋_GBK" w:cs="方正仿宋_GBK"/>
          <w:sz w:val="28"/>
          <w:szCs w:val="28"/>
        </w:rPr>
        <w:t>湘潭市知识产权保护中心                 20</w:t>
      </w:r>
      <w:r>
        <w:rPr>
          <w:rFonts w:hint="eastAsia" w:ascii="方正仿宋_GBK" w:hAnsi="方正仿宋_GBK" w:eastAsia="方正仿宋_GBK" w:cs="方正仿宋_GBK"/>
          <w:sz w:val="28"/>
          <w:szCs w:val="28"/>
          <w:lang w:val="en-US" w:eastAsia="zh-CN"/>
        </w:rPr>
        <w:t>26</w:t>
      </w:r>
      <w:r>
        <w:rPr>
          <w:rFonts w:hint="eastAsia" w:ascii="方正仿宋_GBK" w:hAnsi="方正仿宋_GBK" w:eastAsia="方正仿宋_GBK" w:cs="方正仿宋_GBK"/>
          <w:sz w:val="28"/>
          <w:szCs w:val="28"/>
        </w:rPr>
        <w:t>年</w:t>
      </w:r>
      <w:r>
        <w:rPr>
          <w:rFonts w:hint="eastAsia" w:ascii="方正仿宋_GBK" w:hAnsi="方正仿宋_GBK" w:eastAsia="方正仿宋_GBK" w:cs="方正仿宋_GBK"/>
          <w:sz w:val="28"/>
          <w:szCs w:val="28"/>
          <w:lang w:val="en-US" w:eastAsia="zh-CN"/>
        </w:rPr>
        <w:t>7</w:t>
      </w:r>
      <w:r>
        <w:rPr>
          <w:rFonts w:hint="eastAsia" w:ascii="方正仿宋_GBK" w:hAnsi="方正仿宋_GBK" w:eastAsia="方正仿宋_GBK" w:cs="方正仿宋_GBK"/>
          <w:sz w:val="28"/>
          <w:szCs w:val="28"/>
        </w:rPr>
        <w:t>月</w:t>
      </w:r>
      <w:r>
        <w:rPr>
          <w:rFonts w:hint="eastAsia" w:ascii="方正仿宋_GBK" w:hAnsi="方正仿宋_GBK" w:eastAsia="方正仿宋_GBK" w:cs="方正仿宋_GBK"/>
          <w:sz w:val="28"/>
          <w:szCs w:val="28"/>
          <w:lang w:val="en-US" w:eastAsia="zh-CN"/>
        </w:rPr>
        <w:t>17</w:t>
      </w:r>
      <w:bookmarkStart w:id="0" w:name="_GoBack"/>
      <w:bookmarkEnd w:id="0"/>
      <w:r>
        <w:rPr>
          <w:rFonts w:hint="eastAsia" w:ascii="方正仿宋_GBK" w:hAnsi="方正仿宋_GBK" w:eastAsia="方正仿宋_GBK" w:cs="方正仿宋_GBK"/>
          <w:sz w:val="28"/>
          <w:szCs w:val="28"/>
        </w:rPr>
        <w:t>日印发</w:t>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embedRegular r:id="rId1" w:fontKey="{8B1ADF1E-1531-4B13-A8A5-F8F2B9C8940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5D4A708-827F-4EAE-B9A4-381B34803BC3}"/>
  </w:font>
  <w:font w:name="仿宋_GB2312">
    <w:panose1 w:val="02010609030101010101"/>
    <w:charset w:val="86"/>
    <w:family w:val="auto"/>
    <w:pitch w:val="default"/>
    <w:sig w:usb0="00000001" w:usb1="080E0000" w:usb2="00000000" w:usb3="00000000" w:csb0="00040000" w:csb1="00000000"/>
    <w:embedRegular r:id="rId3" w:fontKey="{855D41CB-6558-45CE-9A51-0DC188674E5F}"/>
  </w:font>
  <w:font w:name="方正小标宋简体">
    <w:panose1 w:val="02000000000000000000"/>
    <w:charset w:val="86"/>
    <w:family w:val="auto"/>
    <w:pitch w:val="default"/>
    <w:sig w:usb0="00000001" w:usb1="08000000" w:usb2="00000000" w:usb3="00000000" w:csb0="00040000" w:csb1="00000000"/>
    <w:embedRegular r:id="rId4" w:fontKey="{3350D0BD-9492-4EE6-BB2E-12FF1B8480BF}"/>
  </w:font>
  <w:font w:name="方正仿宋_GBK">
    <w:panose1 w:val="02000000000000000000"/>
    <w:charset w:val="86"/>
    <w:family w:val="auto"/>
    <w:pitch w:val="default"/>
    <w:sig w:usb0="A00002BF" w:usb1="38CF7CFA" w:usb2="00082016" w:usb3="00000000" w:csb0="00040001" w:csb1="00000000"/>
    <w:embedRegular r:id="rId5" w:fontKey="{98A6215C-1391-459C-92A2-DFC12BA49472}"/>
  </w:font>
  <w:font w:name="方正小标宋_GBK">
    <w:panose1 w:val="02000000000000000000"/>
    <w:charset w:val="86"/>
    <w:family w:val="auto"/>
    <w:pitch w:val="default"/>
    <w:sig w:usb0="00000001" w:usb1="080E0000" w:usb2="00000000" w:usb3="00000000" w:csb0="00040000" w:csb1="00000000"/>
    <w:embedRegular r:id="rId6" w:fontKey="{0C67F216-9D94-4339-BA29-DB0E1B7200A7}"/>
  </w:font>
  <w:font w:name="方正楷体_GBK">
    <w:panose1 w:val="02000000000000000000"/>
    <w:charset w:val="86"/>
    <w:family w:val="auto"/>
    <w:pitch w:val="default"/>
    <w:sig w:usb0="800002BF" w:usb1="38CF7CFA" w:usb2="00000016" w:usb3="00000000" w:csb0="00040000" w:csb1="00000000"/>
    <w:embedRegular r:id="rId7" w:fontKey="{46134015-8CD4-4F0F-A947-D519E3C080DF}"/>
  </w:font>
  <w:font w:name="FangSong_GB2312">
    <w:altName w:val="仿宋_GB2312"/>
    <w:panose1 w:val="02010609030101010101"/>
    <w:charset w:val="86"/>
    <w:family w:val="auto"/>
    <w:pitch w:val="default"/>
    <w:sig w:usb0="00000000" w:usb1="00000000" w:usb2="00000000" w:usb3="00000000" w:csb0="00040000" w:csb1="00000000"/>
    <w:embedRegular r:id="rId8" w:fontKey="{AD2B31DA-A647-4FA2-BC72-D1299D694A7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2E30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94D5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494D5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yZDBiYmNiYTc3YWI3MmQ4NGJiMjAwMDFmMjc3N2IifQ=="/>
  </w:docVars>
  <w:rsids>
    <w:rsidRoot w:val="54B65DBB"/>
    <w:rsid w:val="01B56482"/>
    <w:rsid w:val="03CE2FD1"/>
    <w:rsid w:val="07431E06"/>
    <w:rsid w:val="08145EEF"/>
    <w:rsid w:val="087C1F5D"/>
    <w:rsid w:val="0C6A2581"/>
    <w:rsid w:val="0EA87391"/>
    <w:rsid w:val="1202325C"/>
    <w:rsid w:val="14D57784"/>
    <w:rsid w:val="18955B80"/>
    <w:rsid w:val="1FE12702"/>
    <w:rsid w:val="221548E5"/>
    <w:rsid w:val="232E5391"/>
    <w:rsid w:val="24F609FE"/>
    <w:rsid w:val="253F4153"/>
    <w:rsid w:val="2657371E"/>
    <w:rsid w:val="28A32C4B"/>
    <w:rsid w:val="2B4F0E68"/>
    <w:rsid w:val="2FB7522E"/>
    <w:rsid w:val="303321F6"/>
    <w:rsid w:val="3572793B"/>
    <w:rsid w:val="3A8B1791"/>
    <w:rsid w:val="3B223EA3"/>
    <w:rsid w:val="3B8C57C0"/>
    <w:rsid w:val="3CBB676A"/>
    <w:rsid w:val="49AA6BF6"/>
    <w:rsid w:val="4B863FDA"/>
    <w:rsid w:val="4C020640"/>
    <w:rsid w:val="52AD62F0"/>
    <w:rsid w:val="54B65DBB"/>
    <w:rsid w:val="553E1482"/>
    <w:rsid w:val="57872F8F"/>
    <w:rsid w:val="5B152C85"/>
    <w:rsid w:val="5BE80399"/>
    <w:rsid w:val="5C384E7D"/>
    <w:rsid w:val="684E5A28"/>
    <w:rsid w:val="694806C9"/>
    <w:rsid w:val="6A48530E"/>
    <w:rsid w:val="6CC91B21"/>
    <w:rsid w:val="78531DBF"/>
    <w:rsid w:val="792D6DB0"/>
    <w:rsid w:val="7E1D1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w:qFormat/>
    <w:uiPriority w:val="0"/>
    <w:pPr>
      <w:bidi w:val="0"/>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Body Text Indent"/>
    <w:basedOn w:val="1"/>
    <w:next w:val="5"/>
    <w:qFormat/>
    <w:uiPriority w:val="0"/>
    <w:pPr>
      <w:spacing w:after="120"/>
      <w:ind w:left="200" w:leftChars="200"/>
    </w:pPr>
  </w:style>
  <w:style w:type="paragraph" w:styleId="5">
    <w:name w:val="Body Text Indent 2"/>
    <w:basedOn w:val="1"/>
    <w:qFormat/>
    <w:uiPriority w:val="0"/>
    <w:pPr>
      <w:spacing w:line="500" w:lineRule="exact"/>
      <w:ind w:firstLine="564"/>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unhideWhenUsed/>
    <w:qFormat/>
    <w:uiPriority w:val="99"/>
    <w:pPr>
      <w:snapToGrid w:val="0"/>
      <w:jc w:val="left"/>
    </w:pPr>
    <w:rPr>
      <w:sz w:val="18"/>
      <w:szCs w:val="18"/>
    </w:rPr>
  </w:style>
  <w:style w:type="paragraph" w:styleId="9">
    <w:name w:val="Normal (Web)"/>
    <w:basedOn w:val="1"/>
    <w:qFormat/>
    <w:uiPriority w:val="0"/>
    <w:rPr>
      <w:sz w:val="24"/>
    </w:rPr>
  </w:style>
  <w:style w:type="paragraph" w:styleId="10">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1">
    <w:name w:val="Body Text First Indent 2"/>
    <w:basedOn w:val="4"/>
    <w:qFormat/>
    <w:uiPriority w:val="0"/>
    <w:pPr>
      <w:ind w:firstLine="20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paragraph" w:customStyle="1" w:styleId="16">
    <w:name w:val="BodyText1I2"/>
    <w:qFormat/>
    <w:uiPriority w:val="0"/>
    <w:pPr>
      <w:widowControl w:val="0"/>
      <w:spacing w:after="120"/>
      <w:ind w:left="200" w:leftChars="200" w:firstLine="200" w:firstLineChars="200"/>
      <w:jc w:val="both"/>
      <w:textAlignment w:val="baseline"/>
    </w:pPr>
    <w:rPr>
      <w:rFonts w:ascii="Calibri" w:hAnsi="Calibri" w:eastAsia="宋体" w:cs="Arial"/>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2231</Words>
  <Characters>2248</Characters>
  <Lines>0</Lines>
  <Paragraphs>0</Paragraphs>
  <TotalTime>13</TotalTime>
  <ScaleCrop>false</ScaleCrop>
  <LinksUpToDate>false</LinksUpToDate>
  <CharactersWithSpaces>2291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2025-12-16T01:49:00Z</dcterms:created>
  <dc:creator>雨中漫步</dc:creator>
  <cp:lastModifiedBy>心怡</cp:lastModifiedBy>
  <cp:lastPrinted>2026-07-17T00:43:54Z</cp:lastPrinted>
  <dcterms:modified xsi:type="dcterms:W3CDTF">2026-07-17T00:49:37Z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38A71A57EC2248B7B50F875555900D0B_13</vt:lpwstr>
  </property>
  <property fmtid="{D5CDD505-2E9C-101B-9397-08002B2CF9AE}" pid="4" name="KSOTemplateDocerSaveRecord">
    <vt:lpwstr>eyJoZGlkIjoiM2I2YTdjOGJmODE1YzgwYTdhN2RhNDgwNDc3MTM4ZTYiLCJ1c2VySWQiOiI5Njk2NDQ0NzUifQ==</vt:lpwstr>
  </property>
</Properties>
</file>